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72A943DF" w:rsidR="002753BD" w:rsidRPr="00EC5014" w:rsidRDefault="003F2639"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 xml:space="preserve">service </w:t>
      </w:r>
      <w:r w:rsidR="00837DF1">
        <w:rPr>
          <w:b/>
          <w:bCs/>
          <w:caps/>
          <w:sz w:val="32"/>
          <w:lang w:val="en"/>
        </w:rPr>
        <w:t>Framework contract</w:t>
      </w:r>
    </w:p>
    <w:p w14:paraId="5B403969" w14:textId="68F597D8"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No.: 2</w:t>
      </w:r>
      <w:r w:rsidR="003F2639" w:rsidRPr="00F11944">
        <w:rPr>
          <w:b/>
          <w:bCs/>
          <w:sz w:val="28"/>
          <w:lang w:val="en"/>
        </w:rPr>
        <w:t>6</w:t>
      </w:r>
      <w:r>
        <w:rPr>
          <w:b/>
          <w:bCs/>
          <w:sz w:val="28"/>
          <w:lang w:val="en"/>
        </w:rPr>
        <w:t>-AC</w:t>
      </w:r>
      <w:r w:rsidR="003F2639">
        <w:rPr>
          <w:b/>
          <w:bCs/>
          <w:sz w:val="28"/>
          <w:lang w:val="en"/>
        </w:rPr>
        <w:t>1616</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F11944" w:rsidRDefault="00F26086" w:rsidP="00160DE3">
      <w:pPr>
        <w:tabs>
          <w:tab w:val="right" w:pos="9356"/>
        </w:tabs>
        <w:spacing w:before="0" w:beforeAutospacing="0" w:after="0" w:afterAutospacing="0" w:line="300" w:lineRule="atLeast"/>
        <w:jc w:val="both"/>
        <w:rPr>
          <w:sz w:val="22"/>
          <w:szCs w:val="22"/>
          <w:lang w:val="en-GB"/>
        </w:rPr>
      </w:pPr>
      <w:r w:rsidRPr="00F11944">
        <w:rPr>
          <w:sz w:val="22"/>
          <w:szCs w:val="22"/>
          <w:lang w:val="en"/>
        </w:rPr>
        <w:t xml:space="preserve">This Contract is subject to the French Public Procurement Code in its latest version in force as enacted by </w:t>
      </w:r>
      <w:hyperlink r:id="rId8" w:history="1">
        <w:r w:rsidRPr="00F11944">
          <w:rPr>
            <w:sz w:val="22"/>
            <w:szCs w:val="22"/>
            <w:lang w:val="en"/>
          </w:rPr>
          <w:t>Order No. 2018-1074 issued on 26 November 2018</w:t>
        </w:r>
      </w:hyperlink>
      <w:r w:rsidRPr="00F11944">
        <w:rPr>
          <w:sz w:val="22"/>
          <w:szCs w:val="22"/>
          <w:lang w:val="en"/>
        </w:rPr>
        <w:t xml:space="preserve"> and its Implementation </w:t>
      </w:r>
      <w:hyperlink r:id="rId9" w:history="1">
        <w:r w:rsidRPr="00F11944">
          <w:rPr>
            <w:sz w:val="22"/>
            <w:szCs w:val="22"/>
            <w:lang w:val="en"/>
          </w:rPr>
          <w:t>Decree No. 2018-1075 issued on 3 December 2018</w:t>
        </w:r>
      </w:hyperlink>
      <w:r w:rsidRPr="00F11944">
        <w:rPr>
          <w:sz w:val="22"/>
          <w:szCs w:val="22"/>
          <w:lang w:val="en"/>
        </w:rPr>
        <w:t xml:space="preserve"> constituting the regulatory aspects of the Public Procurement Code (“CCP”).</w:t>
      </w:r>
    </w:p>
    <w:p w14:paraId="14C68384" w14:textId="77777777" w:rsidR="00F26086" w:rsidRPr="00F11944" w:rsidRDefault="00F26086" w:rsidP="00F26086">
      <w:pPr>
        <w:tabs>
          <w:tab w:val="left" w:pos="510"/>
          <w:tab w:val="left" w:pos="10977"/>
        </w:tabs>
        <w:spacing w:before="120"/>
        <w:ind w:right="83"/>
        <w:jc w:val="both"/>
        <w:rPr>
          <w:sz w:val="22"/>
          <w:szCs w:val="22"/>
          <w:lang w:val="en-GB"/>
        </w:rPr>
      </w:pPr>
      <w:r w:rsidRPr="00F11944">
        <w:rPr>
          <w:sz w:val="22"/>
          <w:szCs w:val="22"/>
          <w:lang w:val="en"/>
        </w:rPr>
        <w:t xml:space="preserve">It is awarded by means of: </w:t>
      </w:r>
    </w:p>
    <w:p w14:paraId="116AF37E" w14:textId="67C63A48" w:rsidR="00F26086" w:rsidRPr="00F11944" w:rsidRDefault="00F26086" w:rsidP="00F26086">
      <w:pPr>
        <w:tabs>
          <w:tab w:val="left" w:pos="510"/>
          <w:tab w:val="left" w:pos="10977"/>
        </w:tabs>
        <w:spacing w:before="120"/>
        <w:ind w:right="83"/>
        <w:jc w:val="both"/>
        <w:rPr>
          <w:sz w:val="22"/>
          <w:szCs w:val="22"/>
          <w:lang w:val="en-GB"/>
        </w:rPr>
      </w:pPr>
      <w:r w:rsidRPr="00F11944">
        <w:rPr>
          <w:sz w:val="22"/>
          <w:szCs w:val="22"/>
          <w:lang w:val="en"/>
        </w:rPr>
        <w:t>adapted procedure in application of Articles L. 2123-1 an</w:t>
      </w:r>
      <w:r w:rsidR="00D16C45" w:rsidRPr="00F11944">
        <w:rPr>
          <w:sz w:val="22"/>
          <w:szCs w:val="22"/>
          <w:lang w:val="en"/>
        </w:rPr>
        <w:t>d R. 2123-1 to R. 2123-7 of CCP</w:t>
      </w:r>
    </w:p>
    <w:p w14:paraId="691087AB" w14:textId="77777777" w:rsidR="00EC5014" w:rsidRPr="00F11944" w:rsidRDefault="00EC5014" w:rsidP="00F26086">
      <w:pPr>
        <w:tabs>
          <w:tab w:val="right" w:pos="9327"/>
        </w:tabs>
        <w:spacing w:before="0" w:beforeAutospacing="0" w:after="0" w:afterAutospacing="0"/>
        <w:rPr>
          <w:sz w:val="22"/>
          <w:szCs w:val="22"/>
          <w:lang w:val="en-GB"/>
        </w:rPr>
      </w:pPr>
    </w:p>
    <w:p w14:paraId="0930B2E3" w14:textId="4E83AFA4" w:rsidR="00F865EA" w:rsidRPr="00F11944" w:rsidRDefault="00A62B15" w:rsidP="00F26086">
      <w:pPr>
        <w:tabs>
          <w:tab w:val="right" w:pos="9327"/>
        </w:tabs>
        <w:spacing w:before="0" w:beforeAutospacing="0" w:after="0" w:afterAutospacing="0"/>
        <w:rPr>
          <w:sz w:val="22"/>
          <w:szCs w:val="22"/>
          <w:lang w:val="en"/>
        </w:rPr>
      </w:pPr>
      <w:r w:rsidRPr="00F11944">
        <w:rPr>
          <w:sz w:val="22"/>
          <w:szCs w:val="22"/>
          <w:lang w:val="en"/>
        </w:rPr>
        <w:t xml:space="preserve">Purchase orders or subsequent contracts </w:t>
      </w:r>
      <w:r w:rsidR="00A83237" w:rsidRPr="00F11944">
        <w:rPr>
          <w:sz w:val="22"/>
          <w:szCs w:val="22"/>
          <w:lang w:val="en"/>
        </w:rPr>
        <w:t xml:space="preserve">under a framework contract </w:t>
      </w:r>
      <w:r w:rsidRPr="00F11944">
        <w:rPr>
          <w:sz w:val="22"/>
          <w:szCs w:val="22"/>
          <w:lang w:val="en"/>
        </w:rPr>
        <w:t>are defined within the meaning of Articles R. 2162-1 and R.2162-14 of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F11944" w:rsidRDefault="008F4CDB" w:rsidP="008F4CDB">
      <w:pPr>
        <w:jc w:val="both"/>
        <w:rPr>
          <w:b/>
          <w:sz w:val="24"/>
        </w:rPr>
      </w:pPr>
      <w:r w:rsidRPr="00F11944">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F11944" w14:paraId="60B4918E" w14:textId="77777777" w:rsidTr="00E16294">
        <w:tc>
          <w:tcPr>
            <w:tcW w:w="3290" w:type="dxa"/>
          </w:tcPr>
          <w:p w14:paraId="54085DF5" w14:textId="7A3BC294" w:rsidR="005A6E25" w:rsidRPr="00F11944" w:rsidRDefault="008F4CDB" w:rsidP="00E16294">
            <w:pPr>
              <w:rPr>
                <w:b/>
                <w:sz w:val="24"/>
              </w:rPr>
            </w:pPr>
            <w:r w:rsidRPr="00FB29F7">
              <w:rPr>
                <w:b/>
                <w:bCs/>
                <w:sz w:val="24"/>
                <w:highlight w:val="yellow"/>
                <w:lang w:val="en"/>
              </w:rPr>
              <w:t xml:space="preserve">Full official name </w:t>
            </w:r>
            <w:r w:rsidRPr="00FB29F7">
              <w:rPr>
                <w:highlight w:val="yellow"/>
                <w:vertAlign w:val="superscript"/>
                <w:lang w:val="en"/>
              </w:rPr>
              <w:footnoteReference w:id="1"/>
            </w:r>
          </w:p>
        </w:tc>
        <w:tc>
          <w:tcPr>
            <w:tcW w:w="6066" w:type="dxa"/>
          </w:tcPr>
          <w:p w14:paraId="600952A6" w14:textId="77777777" w:rsidR="005A6E25" w:rsidRPr="00F11944" w:rsidRDefault="005A6E25" w:rsidP="00D366D1">
            <w:pPr>
              <w:jc w:val="both"/>
              <w:rPr>
                <w:sz w:val="24"/>
              </w:rPr>
            </w:pPr>
          </w:p>
        </w:tc>
      </w:tr>
      <w:tr w:rsidR="005A6E25" w:rsidRPr="00F11944" w14:paraId="74F6A95A" w14:textId="77777777" w:rsidTr="00D366D1">
        <w:tc>
          <w:tcPr>
            <w:tcW w:w="9356" w:type="dxa"/>
            <w:gridSpan w:val="2"/>
          </w:tcPr>
          <w:p w14:paraId="0A40D9F8" w14:textId="5C2E9471" w:rsidR="005A6E25" w:rsidRPr="00F11944" w:rsidRDefault="00016373" w:rsidP="00E16294">
            <w:pPr>
              <w:rPr>
                <w:sz w:val="24"/>
                <w:lang w:val="en-GB"/>
              </w:rPr>
            </w:pPr>
            <w:r w:rsidRPr="00F11944">
              <w:rPr>
                <w:sz w:val="24"/>
                <w:lang w:val="en"/>
              </w:rPr>
              <w:t>(hereafter referred to as the “Contractor”),</w:t>
            </w:r>
          </w:p>
        </w:tc>
      </w:tr>
      <w:tr w:rsidR="005A6E25" w:rsidRPr="00F11944" w14:paraId="69D3C565" w14:textId="77777777" w:rsidTr="00E16294">
        <w:tc>
          <w:tcPr>
            <w:tcW w:w="3290" w:type="dxa"/>
          </w:tcPr>
          <w:p w14:paraId="6675AB07" w14:textId="3F1232A5" w:rsidR="005A6E25" w:rsidRPr="00FB29F7" w:rsidRDefault="00016373" w:rsidP="00E16294">
            <w:pPr>
              <w:rPr>
                <w:b/>
                <w:sz w:val="24"/>
                <w:highlight w:val="yellow"/>
              </w:rPr>
            </w:pPr>
            <w:r w:rsidRPr="00FB29F7">
              <w:rPr>
                <w:b/>
                <w:bCs/>
                <w:sz w:val="24"/>
                <w:highlight w:val="yellow"/>
                <w:lang w:val="en"/>
              </w:rPr>
              <w:t>Official legal form</w:t>
            </w:r>
          </w:p>
        </w:tc>
        <w:tc>
          <w:tcPr>
            <w:tcW w:w="6066" w:type="dxa"/>
          </w:tcPr>
          <w:p w14:paraId="4B2F1F62" w14:textId="77777777" w:rsidR="005A6E25" w:rsidRPr="00F11944" w:rsidRDefault="005A6E25" w:rsidP="00D366D1">
            <w:pPr>
              <w:jc w:val="both"/>
              <w:rPr>
                <w:sz w:val="24"/>
              </w:rPr>
            </w:pPr>
          </w:p>
        </w:tc>
      </w:tr>
      <w:tr w:rsidR="005A6E25" w:rsidRPr="00F11944" w14:paraId="2D137923" w14:textId="77777777" w:rsidTr="00E16294">
        <w:trPr>
          <w:trHeight w:val="659"/>
        </w:trPr>
        <w:tc>
          <w:tcPr>
            <w:tcW w:w="3290" w:type="dxa"/>
          </w:tcPr>
          <w:p w14:paraId="0A839CE1" w14:textId="1A6CF1D4" w:rsidR="005A6E25" w:rsidRPr="00F11944" w:rsidRDefault="00016373" w:rsidP="00E16294">
            <w:pPr>
              <w:rPr>
                <w:b/>
                <w:sz w:val="24"/>
              </w:rPr>
            </w:pPr>
            <w:r w:rsidRPr="00FB29F7">
              <w:rPr>
                <w:b/>
                <w:bCs/>
                <w:sz w:val="24"/>
                <w:highlight w:val="yellow"/>
                <w:lang w:val="en"/>
              </w:rPr>
              <w:t>Full official address</w:t>
            </w:r>
            <w:r w:rsidRPr="00F11944">
              <w:rPr>
                <w:b/>
                <w:bCs/>
                <w:sz w:val="24"/>
                <w:lang w:val="en"/>
              </w:rPr>
              <w:t xml:space="preserve"> </w:t>
            </w:r>
          </w:p>
        </w:tc>
        <w:tc>
          <w:tcPr>
            <w:tcW w:w="6066" w:type="dxa"/>
          </w:tcPr>
          <w:p w14:paraId="76260ED2" w14:textId="77777777" w:rsidR="005A6E25" w:rsidRPr="00F11944" w:rsidRDefault="005A6E25" w:rsidP="00D366D1">
            <w:pPr>
              <w:jc w:val="both"/>
              <w:rPr>
                <w:sz w:val="24"/>
              </w:rPr>
            </w:pPr>
          </w:p>
        </w:tc>
      </w:tr>
      <w:tr w:rsidR="005A6E25" w:rsidRPr="00F11944" w14:paraId="0952FE0F" w14:textId="77777777" w:rsidTr="00E16294">
        <w:tc>
          <w:tcPr>
            <w:tcW w:w="3290" w:type="dxa"/>
          </w:tcPr>
          <w:p w14:paraId="5F1B0E74" w14:textId="14D19009" w:rsidR="005A6E25" w:rsidRPr="00FB29F7" w:rsidRDefault="00016373" w:rsidP="00E16294">
            <w:pPr>
              <w:rPr>
                <w:b/>
                <w:sz w:val="24"/>
                <w:highlight w:val="yellow"/>
              </w:rPr>
            </w:pPr>
            <w:r w:rsidRPr="00FB29F7">
              <w:rPr>
                <w:b/>
                <w:bCs/>
                <w:sz w:val="24"/>
                <w:highlight w:val="yellow"/>
                <w:lang w:val="en"/>
              </w:rPr>
              <w:t>Statutory registration number</w:t>
            </w:r>
          </w:p>
        </w:tc>
        <w:tc>
          <w:tcPr>
            <w:tcW w:w="6066" w:type="dxa"/>
          </w:tcPr>
          <w:p w14:paraId="2C0650B5" w14:textId="77777777" w:rsidR="005A6E25" w:rsidRPr="00F11944" w:rsidRDefault="005A6E25" w:rsidP="00D366D1">
            <w:pPr>
              <w:jc w:val="both"/>
              <w:rPr>
                <w:sz w:val="24"/>
              </w:rPr>
            </w:pPr>
          </w:p>
        </w:tc>
      </w:tr>
      <w:tr w:rsidR="005A6E25" w:rsidRPr="00F11944" w14:paraId="70AAEC57" w14:textId="77777777" w:rsidTr="00E16294">
        <w:tc>
          <w:tcPr>
            <w:tcW w:w="3290" w:type="dxa"/>
          </w:tcPr>
          <w:p w14:paraId="4FE931CE" w14:textId="71F40EF0" w:rsidR="005A6E25" w:rsidRPr="00FB29F7" w:rsidRDefault="00F26086" w:rsidP="00E16294">
            <w:pPr>
              <w:rPr>
                <w:b/>
                <w:sz w:val="24"/>
                <w:highlight w:val="yellow"/>
              </w:rPr>
            </w:pPr>
            <w:r w:rsidRPr="00FB29F7">
              <w:rPr>
                <w:b/>
                <w:bCs/>
                <w:sz w:val="24"/>
                <w:highlight w:val="yellow"/>
                <w:lang w:val="en"/>
              </w:rPr>
              <w:t>Vat registration number</w:t>
            </w:r>
          </w:p>
        </w:tc>
        <w:tc>
          <w:tcPr>
            <w:tcW w:w="6066" w:type="dxa"/>
          </w:tcPr>
          <w:p w14:paraId="40289A0E" w14:textId="77777777" w:rsidR="005A6E25" w:rsidRPr="00F11944" w:rsidRDefault="005A6E25" w:rsidP="00D366D1">
            <w:pPr>
              <w:jc w:val="both"/>
              <w:rPr>
                <w:sz w:val="24"/>
              </w:rPr>
            </w:pPr>
          </w:p>
        </w:tc>
      </w:tr>
    </w:tbl>
    <w:p w14:paraId="6839BCF7" w14:textId="24208FA2" w:rsidR="005A6E25" w:rsidRPr="00F11944" w:rsidRDefault="00016373" w:rsidP="005A6E25">
      <w:pPr>
        <w:jc w:val="both"/>
        <w:rPr>
          <w:sz w:val="24"/>
          <w:lang w:val="en-GB"/>
        </w:rPr>
      </w:pPr>
      <w:r w:rsidRPr="00F11944">
        <w:rPr>
          <w:sz w:val="24"/>
          <w:lang w:val="en"/>
        </w:rPr>
        <w:t xml:space="preserve">represented for the </w:t>
      </w:r>
      <w:r w:rsidR="00C40857" w:rsidRPr="00F11944">
        <w:rPr>
          <w:sz w:val="24"/>
          <w:lang w:val="en"/>
        </w:rPr>
        <w:t xml:space="preserve">signature </w:t>
      </w:r>
      <w:r w:rsidRPr="00F11944">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F11944" w14:paraId="1E39C02D" w14:textId="77777777" w:rsidTr="00D366D1">
        <w:tc>
          <w:tcPr>
            <w:tcW w:w="9356" w:type="dxa"/>
            <w:gridSpan w:val="2"/>
          </w:tcPr>
          <w:p w14:paraId="0A133736" w14:textId="781D05DA" w:rsidR="005A6E25" w:rsidRPr="00F11944" w:rsidRDefault="00BB3D0B" w:rsidP="00BB3D0B">
            <w:pPr>
              <w:jc w:val="both"/>
              <w:rPr>
                <w:sz w:val="24"/>
                <w:lang w:val="en-GB"/>
              </w:rPr>
            </w:pPr>
            <w:r w:rsidRPr="00F11944">
              <w:rPr>
                <w:sz w:val="24"/>
                <w:lang w:val="en"/>
              </w:rPr>
              <w:t>Perso</w:t>
            </w:r>
            <w:r w:rsidR="00CC4F9C" w:rsidRPr="00F11944">
              <w:rPr>
                <w:sz w:val="24"/>
                <w:lang w:val="en"/>
              </w:rPr>
              <w:t>n authorised</w:t>
            </w:r>
            <w:r w:rsidRPr="00F11944">
              <w:rPr>
                <w:sz w:val="24"/>
                <w:lang w:val="en"/>
              </w:rPr>
              <w:t xml:space="preserve"> to sign this contract (the “Contract”) on behalf of the Contractor</w:t>
            </w:r>
          </w:p>
        </w:tc>
      </w:tr>
      <w:tr w:rsidR="005A6E25" w:rsidRPr="00F11944" w14:paraId="714C1A0C" w14:textId="77777777" w:rsidTr="00D366D1">
        <w:tc>
          <w:tcPr>
            <w:tcW w:w="2410" w:type="dxa"/>
          </w:tcPr>
          <w:p w14:paraId="288E429C" w14:textId="14992E2C" w:rsidR="005A6E25" w:rsidRPr="00FB29F7" w:rsidRDefault="005A6E25" w:rsidP="00BB3D0B">
            <w:pPr>
              <w:jc w:val="both"/>
              <w:rPr>
                <w:b/>
                <w:sz w:val="24"/>
                <w:highlight w:val="yellow"/>
              </w:rPr>
            </w:pPr>
            <w:r w:rsidRPr="00FB29F7">
              <w:rPr>
                <w:b/>
                <w:bCs/>
                <w:sz w:val="24"/>
                <w:highlight w:val="yellow"/>
                <w:lang w:val="en"/>
              </w:rPr>
              <w:t>Name</w:t>
            </w:r>
            <w:r w:rsidRPr="00FB29F7">
              <w:rPr>
                <w:highlight w:val="yellow"/>
                <w:vertAlign w:val="superscript"/>
                <w:lang w:val="en"/>
              </w:rPr>
              <w:footnoteReference w:id="2"/>
            </w:r>
          </w:p>
        </w:tc>
        <w:tc>
          <w:tcPr>
            <w:tcW w:w="6946" w:type="dxa"/>
          </w:tcPr>
          <w:p w14:paraId="749E205A" w14:textId="236526A8" w:rsidR="005A6E25" w:rsidRPr="00F11944" w:rsidRDefault="00BB3D0B" w:rsidP="00736FBD">
            <w:pPr>
              <w:rPr>
                <w:sz w:val="24"/>
                <w:lang w:val="en-GB"/>
              </w:rPr>
            </w:pPr>
            <w:r w:rsidRPr="00F11944">
              <w:rPr>
                <w:sz w:val="24"/>
                <w:lang w:val="en"/>
              </w:rPr>
              <w:t>Surname (in capitals): ...........................................................................</w:t>
            </w:r>
            <w:r w:rsidRPr="00F11944">
              <w:rPr>
                <w:sz w:val="24"/>
                <w:lang w:val="en"/>
              </w:rPr>
              <w:br/>
              <w:t>First name: ........................................................................................</w:t>
            </w:r>
          </w:p>
        </w:tc>
      </w:tr>
      <w:tr w:rsidR="005A6E25" w:rsidRPr="00F11944" w14:paraId="0DC4DE27" w14:textId="77777777" w:rsidTr="00D366D1">
        <w:tc>
          <w:tcPr>
            <w:tcW w:w="2410" w:type="dxa"/>
          </w:tcPr>
          <w:p w14:paraId="0F903A38" w14:textId="5618646F" w:rsidR="005A6E25" w:rsidRPr="00FB29F7" w:rsidRDefault="00BB3D0B" w:rsidP="00BB3D0B">
            <w:pPr>
              <w:jc w:val="both"/>
              <w:rPr>
                <w:b/>
                <w:sz w:val="24"/>
                <w:highlight w:val="yellow"/>
              </w:rPr>
            </w:pPr>
            <w:r w:rsidRPr="00FB29F7">
              <w:rPr>
                <w:b/>
                <w:bCs/>
                <w:sz w:val="24"/>
                <w:highlight w:val="yellow"/>
                <w:lang w:val="en"/>
              </w:rPr>
              <w:t>Function</w:t>
            </w:r>
          </w:p>
        </w:tc>
        <w:tc>
          <w:tcPr>
            <w:tcW w:w="6946" w:type="dxa"/>
          </w:tcPr>
          <w:p w14:paraId="2B163390" w14:textId="77777777" w:rsidR="005A6E25" w:rsidRPr="00F11944" w:rsidRDefault="005A6E25" w:rsidP="00D366D1">
            <w:pPr>
              <w:jc w:val="both"/>
              <w:rPr>
                <w:sz w:val="24"/>
              </w:rPr>
            </w:pPr>
          </w:p>
        </w:tc>
      </w:tr>
      <w:tr w:rsidR="005A6E25" w:rsidRPr="0022648E" w14:paraId="692D4F1C" w14:textId="77777777" w:rsidTr="00D366D1">
        <w:tc>
          <w:tcPr>
            <w:tcW w:w="2410" w:type="dxa"/>
          </w:tcPr>
          <w:p w14:paraId="548B328B" w14:textId="0C8D6889" w:rsidR="005A6E25" w:rsidRPr="00FB29F7" w:rsidRDefault="005A6E25" w:rsidP="00BB3D0B">
            <w:pPr>
              <w:jc w:val="both"/>
              <w:rPr>
                <w:b/>
                <w:sz w:val="24"/>
                <w:highlight w:val="yellow"/>
              </w:rPr>
            </w:pPr>
            <w:r w:rsidRPr="00FB29F7">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sidRPr="00F11944">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479D6BF9" w14:textId="53824BDC" w:rsidR="00BF734E" w:rsidRPr="00AB3F63" w:rsidRDefault="00DA2BFB" w:rsidP="00AB3F63">
      <w:pPr>
        <w:tabs>
          <w:tab w:val="left" w:pos="510"/>
          <w:tab w:val="left" w:pos="10977"/>
        </w:tabs>
        <w:jc w:val="both"/>
        <w:rPr>
          <w:sz w:val="28"/>
          <w:lang w:val="en-GB"/>
        </w:rPr>
      </w:pPr>
      <w:r w:rsidRPr="00F11944">
        <w:rPr>
          <w:sz w:val="24"/>
          <w:lang w:val="en"/>
        </w:rPr>
        <w:lastRenderedPageBreak/>
        <w:t xml:space="preserve">The implementation of this framework contract takes place in the context of the cooperation project (hereafter the “Main Contract”) </w:t>
      </w:r>
      <w:r w:rsidR="00AB3F63" w:rsidRPr="00F11944">
        <w:rPr>
          <w:sz w:val="24"/>
          <w:lang w:val="en"/>
        </w:rPr>
        <w:t xml:space="preserve">on December 2025, </w:t>
      </w:r>
      <w:r w:rsidR="00AB3F63" w:rsidRPr="00F11944">
        <w:rPr>
          <w:rFonts w:cstheme="minorHAnsi"/>
          <w:iCs/>
          <w:sz w:val="24"/>
          <w:lang w:val="en"/>
        </w:rPr>
        <w:t>European Union International Parternship Division</w:t>
      </w:r>
      <w:r w:rsidR="00AB3F63" w:rsidRPr="00F11944">
        <w:rPr>
          <w:rFonts w:cstheme="minorHAnsi"/>
          <w:sz w:val="24"/>
          <w:lang w:val="en"/>
        </w:rPr>
        <w:t xml:space="preserve"> and Expertise France, covering “</w:t>
      </w:r>
      <w:r w:rsidR="00AB3F63" w:rsidRPr="00F11944">
        <w:rPr>
          <w:rFonts w:cstheme="minorHAnsi"/>
          <w:i/>
          <w:sz w:val="24"/>
          <w:lang w:val="en"/>
        </w:rPr>
        <w:t>Regenerative Nature Based Tourism Development</w:t>
      </w:r>
      <w:r w:rsidR="00AB3F63" w:rsidRPr="00F11944">
        <w:rPr>
          <w:rFonts w:cstheme="minorHAnsi"/>
          <w:sz w:val="24"/>
          <w:lang w:val="en"/>
        </w:rPr>
        <w: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54F39DF3" w14:textId="155AC013" w:rsidR="003837AF" w:rsidRPr="003837AF" w:rsidRDefault="00A861C5" w:rsidP="003837AF">
      <w:pPr>
        <w:ind w:left="1560" w:hanging="1560"/>
        <w:jc w:val="both"/>
        <w:rPr>
          <w:sz w:val="24"/>
          <w:lang w:val="en"/>
        </w:rPr>
      </w:pPr>
      <w:r>
        <w:rPr>
          <w:b/>
          <w:bCs/>
          <w:sz w:val="24"/>
          <w:lang w:val="en"/>
        </w:rPr>
        <w:t xml:space="preserve">Annex I </w:t>
      </w:r>
      <w:r>
        <w:rPr>
          <w:sz w:val="24"/>
          <w:lang w:val="en"/>
        </w:rPr>
        <w:t>–</w:t>
      </w:r>
      <w:r>
        <w:rPr>
          <w:sz w:val="24"/>
          <w:lang w:val="en"/>
        </w:rPr>
        <w:tab/>
        <w:t xml:space="preserve">Specifications </w:t>
      </w:r>
    </w:p>
    <w:p w14:paraId="6EF33CD0" w14:textId="77777777" w:rsidR="00A861C5" w:rsidRPr="00F1194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r>
      <w:r w:rsidRPr="00F11944">
        <w:rPr>
          <w:sz w:val="24"/>
          <w:lang w:val="en"/>
        </w:rPr>
        <w:t xml:space="preserve">Contractor’s bid (reference no. </w:t>
      </w:r>
      <w:r w:rsidRPr="00FB29F7">
        <w:rPr>
          <w:sz w:val="24"/>
          <w:highlight w:val="yellow"/>
          <w:lang w:val="en"/>
        </w:rPr>
        <w:t>[</w:t>
      </w:r>
      <w:r w:rsidRPr="00FB29F7">
        <w:rPr>
          <w:i/>
          <w:iCs/>
          <w:sz w:val="24"/>
          <w:highlight w:val="yellow"/>
          <w:lang w:val="en"/>
        </w:rPr>
        <w:t>to be completed</w:t>
      </w:r>
      <w:r w:rsidRPr="00FB29F7">
        <w:rPr>
          <w:sz w:val="24"/>
          <w:highlight w:val="yellow"/>
          <w:lang w:val="en"/>
        </w:rPr>
        <w:t>]</w:t>
      </w:r>
      <w:r w:rsidRPr="00F11944">
        <w:rPr>
          <w:sz w:val="24"/>
          <w:lang w:val="en"/>
        </w:rPr>
        <w:t xml:space="preserve"> dated </w:t>
      </w:r>
      <w:r w:rsidRPr="00FB29F7">
        <w:rPr>
          <w:sz w:val="24"/>
          <w:highlight w:val="yellow"/>
          <w:lang w:val="en"/>
        </w:rPr>
        <w:t>[</w:t>
      </w:r>
      <w:r w:rsidRPr="00FB29F7">
        <w:rPr>
          <w:i/>
          <w:iCs/>
          <w:sz w:val="24"/>
          <w:highlight w:val="yellow"/>
          <w:lang w:val="en"/>
        </w:rPr>
        <w:t>date</w:t>
      </w:r>
      <w:r w:rsidRPr="00FB29F7">
        <w:rPr>
          <w:sz w:val="24"/>
          <w:highlight w:val="yellow"/>
          <w:lang w:val="en"/>
        </w:rPr>
        <w:t>]</w:t>
      </w:r>
      <w:r w:rsidRPr="00F11944">
        <w:rPr>
          <w:sz w:val="24"/>
          <w:lang w:val="en"/>
        </w:rPr>
        <w:t>)</w:t>
      </w:r>
    </w:p>
    <w:p w14:paraId="69F9748F" w14:textId="7290D9C9" w:rsidR="00AB3F63" w:rsidRDefault="009037DA" w:rsidP="00AB3F63">
      <w:pPr>
        <w:ind w:left="1560" w:hanging="1560"/>
        <w:jc w:val="both"/>
        <w:rPr>
          <w:b/>
          <w:bCs/>
          <w:sz w:val="24"/>
          <w:lang w:val="en"/>
        </w:rPr>
      </w:pPr>
      <w:r w:rsidRPr="00F11944">
        <w:rPr>
          <w:b/>
          <w:bCs/>
          <w:sz w:val="24"/>
          <w:lang w:val="en"/>
        </w:rPr>
        <w:t>Annex III –</w:t>
      </w:r>
      <w:r w:rsidRPr="00F11944">
        <w:rPr>
          <w:b/>
          <w:bCs/>
          <w:sz w:val="24"/>
          <w:lang w:val="en"/>
        </w:rPr>
        <w:tab/>
      </w:r>
      <w:r w:rsidR="006C528D" w:rsidRPr="00F11944">
        <w:rPr>
          <w:bCs/>
          <w:sz w:val="24"/>
          <w:lang w:val="en"/>
        </w:rPr>
        <w:t>Expression of interest Form</w:t>
      </w:r>
    </w:p>
    <w:p w14:paraId="3D77C08D" w14:textId="73A20DC7" w:rsidR="00AB3F63" w:rsidRPr="00AB3F63" w:rsidRDefault="00CC1A2E" w:rsidP="00AB3F63">
      <w:pPr>
        <w:ind w:left="1560" w:hanging="1560"/>
        <w:jc w:val="both"/>
        <w:rPr>
          <w:bCs/>
          <w:sz w:val="24"/>
          <w:lang w:val="en"/>
        </w:rPr>
      </w:pPr>
      <w:r>
        <w:rPr>
          <w:b/>
          <w:bCs/>
          <w:sz w:val="24"/>
          <w:lang w:val="en"/>
        </w:rPr>
        <w:t>Annex</w:t>
      </w:r>
      <w:r w:rsidR="00AB3F63" w:rsidRPr="00AB3F63">
        <w:rPr>
          <w:b/>
          <w:bCs/>
          <w:sz w:val="24"/>
          <w:lang w:val="en"/>
        </w:rPr>
        <w:t xml:space="preserve"> IV –</w:t>
      </w:r>
      <w:r w:rsidR="00AB3F63" w:rsidRPr="00AB3F63">
        <w:rPr>
          <w:bCs/>
          <w:sz w:val="24"/>
          <w:lang w:val="en"/>
        </w:rPr>
        <w:t xml:space="preserve"> Purchase order</w:t>
      </w:r>
      <w:r w:rsidR="00DD5C22">
        <w:rPr>
          <w:bCs/>
          <w:sz w:val="24"/>
          <w:lang w:val="en"/>
        </w:rPr>
        <w:t xml:space="preserve"> model</w:t>
      </w:r>
    </w:p>
    <w:p w14:paraId="7D31481F" w14:textId="19C593AD"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D5ACFF1" w14:textId="77777777" w:rsidR="006C15A1" w:rsidRPr="00EC5014" w:rsidRDefault="006C15A1" w:rsidP="006C528D">
      <w:pPr>
        <w:pStyle w:val="Heading1contract"/>
        <w:spacing w:before="100" w:after="360" w:afterAutospacing="0"/>
        <w:jc w:val="left"/>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5D47C549"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D16C45" w:rsidRPr="00F11944">
        <w:rPr>
          <w:i/>
          <w:sz w:val="24"/>
          <w:lang w:val="en"/>
        </w:rPr>
        <w:t>Definition and Operationalisation of the Methodological Framework for Strengthening Nature-Based Tourism Value Chains“</w:t>
      </w:r>
      <w:r w:rsidRPr="00F11944">
        <w:rPr>
          <w:i/>
          <w:sz w:val="24"/>
          <w:lang w:val="en"/>
        </w:rPr>
        <w:t>.</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54DE1607"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AB3F63">
        <w:rPr>
          <w:sz w:val="24"/>
          <w:lang w:val="en"/>
        </w:rPr>
        <w:t>.</w:t>
      </w:r>
    </w:p>
    <w:p w14:paraId="5302FFF6" w14:textId="4BEDCCF0" w:rsidR="00093B58" w:rsidRPr="00F11944" w:rsidRDefault="00093B58" w:rsidP="00F04894">
      <w:pPr>
        <w:suppressAutoHyphens/>
        <w:ind w:left="851" w:hanging="851"/>
        <w:jc w:val="both"/>
        <w:rPr>
          <w:sz w:val="24"/>
          <w:lang w:val="en-GB"/>
        </w:rPr>
      </w:pPr>
      <w:r>
        <w:rPr>
          <w:b/>
          <w:bCs/>
          <w:noProof/>
          <w:sz w:val="24"/>
          <w:lang w:val="en"/>
        </w:rPr>
        <w:t>I.2.2</w:t>
      </w:r>
      <w:r>
        <w:rPr>
          <w:sz w:val="24"/>
          <w:lang w:val="en"/>
        </w:rPr>
        <w:tab/>
      </w:r>
      <w:r w:rsidRPr="00F11944">
        <w:rPr>
          <w:sz w:val="24"/>
          <w:lang w:val="en"/>
        </w:rPr>
        <w:t>Under no circumstances may performance commence before the effective date of the FWC.</w:t>
      </w:r>
      <w:r w:rsidRPr="00F11944">
        <w:rPr>
          <w:color w:val="000000"/>
          <w:sz w:val="24"/>
          <w:lang w:val="en"/>
        </w:rPr>
        <w:t xml:space="preserve"> </w:t>
      </w:r>
      <w:r w:rsidRPr="00F11944">
        <w:rPr>
          <w:sz w:val="24"/>
          <w:lang w:val="en"/>
        </w:rPr>
        <w:t>Execution of tasks and deliveries of supplies may under no circumstances begin before the date on which the purchase order or specific contract enters into force.</w:t>
      </w:r>
    </w:p>
    <w:p w14:paraId="352252DD" w14:textId="6ABD403C" w:rsidR="00093B58" w:rsidRPr="00F11944" w:rsidRDefault="00093B58" w:rsidP="00F04894">
      <w:pPr>
        <w:suppressAutoHyphens/>
        <w:ind w:left="851" w:hanging="851"/>
        <w:jc w:val="both"/>
        <w:rPr>
          <w:sz w:val="24"/>
          <w:lang w:val="en-GB"/>
        </w:rPr>
      </w:pPr>
      <w:r w:rsidRPr="00F11944">
        <w:rPr>
          <w:b/>
          <w:bCs/>
          <w:noProof/>
          <w:color w:val="000000"/>
          <w:sz w:val="24"/>
          <w:lang w:val="en"/>
        </w:rPr>
        <w:t>I.2.</w:t>
      </w:r>
      <w:r w:rsidRPr="00F11944">
        <w:rPr>
          <w:b/>
          <w:bCs/>
          <w:noProof/>
          <w:sz w:val="24"/>
          <w:lang w:val="en"/>
        </w:rPr>
        <w:t>3</w:t>
      </w:r>
      <w:r w:rsidRPr="00F11944">
        <w:rPr>
          <w:sz w:val="24"/>
          <w:lang w:val="en"/>
        </w:rPr>
        <w:tab/>
        <w:t xml:space="preserve">The FWC is entered into for a term of </w:t>
      </w:r>
      <w:r w:rsidR="006C528D" w:rsidRPr="00F11944">
        <w:rPr>
          <w:sz w:val="24"/>
          <w:lang w:val="en"/>
        </w:rPr>
        <w:t>12</w:t>
      </w:r>
      <w:r w:rsidR="00AB3F63" w:rsidRPr="00F11944">
        <w:rPr>
          <w:sz w:val="24"/>
          <w:lang w:val="en"/>
        </w:rPr>
        <w:t xml:space="preserve"> </w:t>
      </w:r>
      <w:r w:rsidRPr="00F11944">
        <w:rPr>
          <w:sz w:val="24"/>
          <w:lang w:val="en"/>
        </w:rPr>
        <w:t xml:space="preserve">months from </w:t>
      </w:r>
      <w:r w:rsidR="00AB3F63" w:rsidRPr="00F11944">
        <w:rPr>
          <w:sz w:val="24"/>
          <w:lang w:val="en"/>
        </w:rPr>
        <w:t>its award date</w:t>
      </w:r>
      <w:r w:rsidRPr="00F11944">
        <w:rPr>
          <w:sz w:val="24"/>
          <w:lang w:val="en"/>
        </w:rPr>
        <w:t>. Unless provided for otherwise, all periods stipulated in the FWC are calculated in calendar days.</w:t>
      </w:r>
    </w:p>
    <w:p w14:paraId="46B1C394" w14:textId="7114A11E" w:rsidR="00322DCB" w:rsidRPr="00F11944" w:rsidRDefault="00093B58" w:rsidP="00F04894">
      <w:pPr>
        <w:suppressAutoHyphens/>
        <w:ind w:left="851" w:hanging="851"/>
        <w:jc w:val="both"/>
        <w:rPr>
          <w:sz w:val="24"/>
          <w:lang w:val="en-GB"/>
        </w:rPr>
      </w:pPr>
      <w:r w:rsidRPr="00F11944">
        <w:rPr>
          <w:b/>
          <w:bCs/>
          <w:noProof/>
          <w:sz w:val="24"/>
          <w:lang w:val="en"/>
        </w:rPr>
        <w:t>I.2.4</w:t>
      </w:r>
      <w:r w:rsidRPr="00F11944">
        <w:rPr>
          <w:sz w:val="24"/>
          <w:lang w:val="en"/>
        </w:rPr>
        <w:tab/>
        <w:t xml:space="preserve">Purchase orders must be signed by </w:t>
      </w:r>
      <w:r w:rsidR="00F8787A" w:rsidRPr="00F11944">
        <w:rPr>
          <w:sz w:val="24"/>
          <w:lang w:val="en"/>
        </w:rPr>
        <w:t>Expertise France</w:t>
      </w:r>
      <w:r w:rsidRPr="00F11944">
        <w:rPr>
          <w:sz w:val="24"/>
          <w:lang w:val="en"/>
        </w:rPr>
        <w:t xml:space="preserve"> before expiry of the FWC. </w:t>
      </w:r>
    </w:p>
    <w:p w14:paraId="00D1C19B" w14:textId="7ED0A339" w:rsidR="00093B58" w:rsidRPr="00F11944" w:rsidRDefault="00205D49" w:rsidP="00F04894">
      <w:pPr>
        <w:suppressAutoHyphens/>
        <w:ind w:left="851"/>
        <w:jc w:val="both"/>
        <w:rPr>
          <w:sz w:val="24"/>
          <w:lang w:val="en-GB"/>
        </w:rPr>
      </w:pPr>
      <w:r w:rsidRPr="00F11944">
        <w:rPr>
          <w:sz w:val="24"/>
          <w:lang w:val="en"/>
        </w:rPr>
        <w:t>Specific contracts must be signed by both parties before expiry of the FWC.</w:t>
      </w:r>
    </w:p>
    <w:p w14:paraId="09FCF835" w14:textId="0E7B20D8" w:rsidR="00093B58" w:rsidRPr="00F11944" w:rsidRDefault="00093B58" w:rsidP="00F04894">
      <w:pPr>
        <w:suppressAutoHyphens/>
        <w:ind w:left="851"/>
        <w:jc w:val="both"/>
        <w:rPr>
          <w:sz w:val="24"/>
          <w:lang w:val="en"/>
        </w:rPr>
      </w:pPr>
      <w:r w:rsidRPr="00F11944">
        <w:rPr>
          <w:sz w:val="24"/>
          <w:lang w:val="en"/>
        </w:rPr>
        <w:t xml:space="preserve">After its expiry, the FWC shall remain in force with regard to purchase orders and specific contracts. They must be executed within [six] months of its expiry. </w:t>
      </w:r>
    </w:p>
    <w:p w14:paraId="3B50E069" w14:textId="30F28713" w:rsidR="006C528D" w:rsidRPr="00F11944" w:rsidRDefault="006C528D" w:rsidP="006C528D">
      <w:pPr>
        <w:ind w:left="709" w:hanging="709"/>
        <w:jc w:val="both"/>
        <w:rPr>
          <w:i/>
          <w:color w:val="000000"/>
          <w:sz w:val="24"/>
          <w:lang w:val="en-GB"/>
        </w:rPr>
      </w:pPr>
      <w:r w:rsidRPr="00F11944">
        <w:rPr>
          <w:b/>
          <w:bCs/>
          <w:noProof/>
          <w:color w:val="000000"/>
          <w:sz w:val="24"/>
          <w:lang w:val="en"/>
        </w:rPr>
        <w:t>I.2.5</w:t>
      </w:r>
      <w:r w:rsidRPr="00F11944">
        <w:rPr>
          <w:b/>
          <w:bCs/>
          <w:lang w:val="en"/>
        </w:rPr>
        <w:tab/>
      </w:r>
      <w:r w:rsidRPr="00F11944">
        <w:rPr>
          <w:b/>
          <w:bCs/>
          <w:sz w:val="24"/>
          <w:lang w:val="en"/>
        </w:rPr>
        <w:t>Renewal of the FWC</w:t>
      </w:r>
      <w:r w:rsidRPr="00F11944">
        <w:rPr>
          <w:rStyle w:val="Appelnotedebasdep"/>
          <w:sz w:val="24"/>
          <w:lang w:val="en"/>
        </w:rPr>
        <w:footnoteReference w:id="3"/>
      </w:r>
    </w:p>
    <w:p w14:paraId="28BDF3D0" w14:textId="1041F443" w:rsidR="006C528D" w:rsidRPr="00EC5014" w:rsidRDefault="006C528D" w:rsidP="006C528D">
      <w:pPr>
        <w:jc w:val="both"/>
        <w:rPr>
          <w:sz w:val="28"/>
          <w:lang w:val="en-GB"/>
        </w:rPr>
      </w:pPr>
      <w:r w:rsidRPr="00F11944">
        <w:rPr>
          <w:sz w:val="24"/>
          <w:lang w:val="en"/>
        </w:rPr>
        <w:t>The FWC may be tacitly renewed up to 3 times under the same conditions, unless written notification to the contrary is sent by Expertise France to the Contractor at least three months before expiry of the period stated in Article I.2.3. Such</w:t>
      </w:r>
      <w:r>
        <w:rPr>
          <w:sz w:val="24"/>
          <w:lang w:val="en"/>
        </w:rPr>
        <w:t xml:space="preserve"> renewal shall not modify or defer the applicable obligations.</w:t>
      </w:r>
    </w:p>
    <w:p w14:paraId="24A7B252" w14:textId="77777777" w:rsidR="006C528D" w:rsidRPr="00EC5014" w:rsidRDefault="006C528D" w:rsidP="00F04894">
      <w:pPr>
        <w:suppressAutoHyphens/>
        <w:ind w:left="851"/>
        <w:jc w:val="both"/>
        <w:rPr>
          <w:lang w:val="en-GB"/>
        </w:rPr>
      </w:pPr>
    </w:p>
    <w:p w14:paraId="3D5C5A72" w14:textId="77777777" w:rsidR="00AC78D7" w:rsidRPr="00EC5014" w:rsidRDefault="00AC78D7" w:rsidP="00AC78D7">
      <w:pPr>
        <w:pStyle w:val="Titre2"/>
        <w:rPr>
          <w:lang w:val="en-GB"/>
        </w:rPr>
      </w:pPr>
      <w:r>
        <w:rPr>
          <w:bCs/>
          <w:lang w:val="en"/>
        </w:rPr>
        <w:lastRenderedPageBreak/>
        <w:t>ARTICLE I.3 – Pricing</w:t>
      </w:r>
    </w:p>
    <w:p w14:paraId="061CAC7B" w14:textId="2199C959" w:rsidR="002B10E3" w:rsidRPr="00F1194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amount of the </w:t>
      </w:r>
      <w:r w:rsidRPr="00F11944">
        <w:rPr>
          <w:sz w:val="24"/>
          <w:lang w:val="en"/>
        </w:rPr>
        <w:t xml:space="preserve">FWC is </w:t>
      </w:r>
      <w:r w:rsidR="00DD5C22" w:rsidRPr="00F11944">
        <w:rPr>
          <w:sz w:val="24"/>
          <w:lang w:val="en"/>
        </w:rPr>
        <w:t>one hundred and twenty thousand euros</w:t>
      </w:r>
      <w:r w:rsidRPr="00F11944">
        <w:rPr>
          <w:sz w:val="24"/>
          <w:lang w:val="en"/>
        </w:rPr>
        <w:t xml:space="preserve">. However, this must in no way be construed as a commitment by </w:t>
      </w:r>
      <w:r w:rsidR="00F8787A" w:rsidRPr="00F11944">
        <w:rPr>
          <w:sz w:val="24"/>
          <w:lang w:val="en"/>
        </w:rPr>
        <w:t>Expertise France</w:t>
      </w:r>
      <w:r w:rsidRPr="00F11944">
        <w:rPr>
          <w:sz w:val="24"/>
          <w:lang w:val="en"/>
        </w:rPr>
        <w:t xml:space="preserve"> to make purchases in the maximum amount. </w:t>
      </w:r>
    </w:p>
    <w:p w14:paraId="1B068C47" w14:textId="63764C10" w:rsidR="00AC78D7" w:rsidRPr="00F11944" w:rsidRDefault="003A4A56" w:rsidP="00182E5F">
      <w:pPr>
        <w:pStyle w:val="u"/>
        <w:widowControl w:val="0"/>
        <w:numPr>
          <w:ilvl w:val="12"/>
          <w:numId w:val="0"/>
        </w:numPr>
        <w:spacing w:before="120"/>
        <w:ind w:left="709"/>
        <w:rPr>
          <w:rFonts w:asciiTheme="minorHAnsi" w:hAnsiTheme="minorHAnsi"/>
          <w:sz w:val="24"/>
          <w:lang w:val="en-GB"/>
        </w:rPr>
      </w:pPr>
      <w:r w:rsidRPr="00F11944">
        <w:rPr>
          <w:rFonts w:asciiTheme="minorHAnsi" w:hAnsiTheme="minorHAnsi"/>
          <w:sz w:val="24"/>
          <w:lang w:val="en"/>
        </w:rPr>
        <w:t>This FWC doe</w:t>
      </w:r>
      <w:r w:rsidR="00DD5C22" w:rsidRPr="00F11944">
        <w:rPr>
          <w:rFonts w:asciiTheme="minorHAnsi" w:hAnsiTheme="minorHAnsi"/>
          <w:sz w:val="24"/>
          <w:lang w:val="en"/>
        </w:rPr>
        <w:t xml:space="preserve">s not specify a minimum amount. </w:t>
      </w:r>
      <w:r w:rsidR="00F8787A" w:rsidRPr="00F11944">
        <w:rPr>
          <w:rFonts w:asciiTheme="minorHAnsi" w:hAnsiTheme="minorHAnsi"/>
          <w:sz w:val="24"/>
          <w:lang w:val="en"/>
        </w:rPr>
        <w:t>Expertise France</w:t>
      </w:r>
      <w:r w:rsidRPr="00F11944">
        <w:rPr>
          <w:rFonts w:asciiTheme="minorHAnsi" w:hAnsiTheme="minorHAnsi"/>
          <w:sz w:val="24"/>
          <w:lang w:val="en"/>
        </w:rPr>
        <w:t xml:space="preserve"> is therefore not committed to any minimum level of purchase within the scope of the FWC.</w:t>
      </w:r>
    </w:p>
    <w:p w14:paraId="2B3A0071" w14:textId="2FD87421" w:rsidR="003C385D" w:rsidRPr="00F11944" w:rsidRDefault="00362210" w:rsidP="00C916C0">
      <w:pPr>
        <w:pStyle w:val="u"/>
        <w:widowControl w:val="0"/>
        <w:numPr>
          <w:ilvl w:val="12"/>
          <w:numId w:val="0"/>
        </w:numPr>
        <w:spacing w:before="120" w:after="120"/>
        <w:ind w:left="709"/>
        <w:jc w:val="left"/>
        <w:rPr>
          <w:rFonts w:asciiTheme="minorHAnsi" w:hAnsiTheme="minorHAnsi"/>
          <w:sz w:val="24"/>
          <w:lang w:val="en"/>
        </w:rPr>
      </w:pPr>
      <w:r w:rsidRPr="00F11944">
        <w:rPr>
          <w:rFonts w:asciiTheme="minorHAnsi" w:hAnsiTheme="minorHAnsi"/>
          <w:sz w:val="24"/>
          <w:lang w:val="en"/>
        </w:rPr>
        <w:t>The details of the unit prices are set out</w:t>
      </w:r>
      <w:r w:rsidR="006C528D" w:rsidRPr="00F11944">
        <w:rPr>
          <w:rFonts w:asciiTheme="minorHAnsi" w:hAnsiTheme="minorHAnsi"/>
          <w:sz w:val="24"/>
          <w:lang w:val="en"/>
        </w:rPr>
        <w:t xml:space="preserve"> </w:t>
      </w:r>
      <w:r w:rsidRPr="00F11944">
        <w:rPr>
          <w:rFonts w:asciiTheme="minorHAnsi" w:hAnsiTheme="minorHAnsi" w:cs="Arial"/>
          <w:sz w:val="24"/>
          <w:lang w:val="en"/>
        </w:rPr>
        <w:t>in the following unit pricing schedule</w:t>
      </w:r>
      <w:r w:rsidR="006C528D" w:rsidRPr="00F11944">
        <w:rPr>
          <w:rFonts w:asciiTheme="minorHAnsi" w:hAnsiTheme="minorHAnsi"/>
          <w:sz w:val="24"/>
          <w:lang w:val="en"/>
        </w:rPr>
        <w:t>.</w:t>
      </w:r>
    </w:p>
    <w:p w14:paraId="1DEBEEEE" w14:textId="77777777" w:rsidR="006C528D" w:rsidRPr="00F11944" w:rsidRDefault="006C528D" w:rsidP="00C916C0">
      <w:pPr>
        <w:pStyle w:val="u"/>
        <w:widowControl w:val="0"/>
        <w:numPr>
          <w:ilvl w:val="12"/>
          <w:numId w:val="0"/>
        </w:numPr>
        <w:spacing w:before="120" w:after="120"/>
        <w:ind w:left="709"/>
        <w:jc w:val="left"/>
        <w:rPr>
          <w:rFonts w:asciiTheme="minorHAnsi" w:hAnsiTheme="minorHAnsi" w:cs="Arial"/>
          <w:sz w:val="24"/>
          <w:lang w:val="en-GB"/>
        </w:rPr>
      </w:pPr>
    </w:p>
    <w:tbl>
      <w:tblPr>
        <w:tblStyle w:val="Grilledutableau"/>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409"/>
      </w:tblGrid>
      <w:tr w:rsidR="00C916C0" w:rsidRPr="00F11944" w14:paraId="0B0FF756" w14:textId="77777777" w:rsidTr="002753BD">
        <w:tc>
          <w:tcPr>
            <w:tcW w:w="4395" w:type="dxa"/>
            <w:vAlign w:val="center"/>
          </w:tcPr>
          <w:p w14:paraId="4D1525B0" w14:textId="77777777" w:rsidR="00C916C0" w:rsidRPr="00F11944" w:rsidRDefault="00C916C0" w:rsidP="00C916C0">
            <w:pPr>
              <w:pStyle w:val="u"/>
              <w:widowControl w:val="0"/>
              <w:numPr>
                <w:ilvl w:val="12"/>
                <w:numId w:val="0"/>
              </w:numPr>
              <w:spacing w:before="60" w:after="60"/>
              <w:ind w:left="709"/>
              <w:jc w:val="left"/>
              <w:rPr>
                <w:rFonts w:asciiTheme="minorHAnsi" w:hAnsiTheme="minorHAnsi" w:cs="Arial"/>
                <w:b/>
                <w:sz w:val="24"/>
              </w:rPr>
            </w:pPr>
            <w:r w:rsidRPr="00F11944">
              <w:rPr>
                <w:rFonts w:asciiTheme="minorHAnsi" w:hAnsiTheme="minorHAnsi" w:cs="Arial"/>
                <w:b/>
                <w:bCs/>
                <w:sz w:val="24"/>
                <w:lang w:val="en"/>
              </w:rPr>
              <w:t>Units</w:t>
            </w:r>
          </w:p>
        </w:tc>
        <w:tc>
          <w:tcPr>
            <w:tcW w:w="2409" w:type="dxa"/>
            <w:vAlign w:val="center"/>
          </w:tcPr>
          <w:p w14:paraId="3F53C095" w14:textId="77777777" w:rsidR="00C916C0" w:rsidRPr="00F11944" w:rsidRDefault="00C916C0" w:rsidP="004F541B">
            <w:pPr>
              <w:pStyle w:val="u"/>
              <w:widowControl w:val="0"/>
              <w:numPr>
                <w:ilvl w:val="12"/>
                <w:numId w:val="0"/>
              </w:numPr>
              <w:spacing w:before="60" w:after="60"/>
              <w:jc w:val="center"/>
              <w:rPr>
                <w:rFonts w:asciiTheme="minorHAnsi" w:hAnsiTheme="minorHAnsi" w:cs="Arial"/>
                <w:b/>
                <w:sz w:val="24"/>
                <w:lang w:val="en-GB"/>
              </w:rPr>
            </w:pPr>
            <w:r w:rsidRPr="00F11944">
              <w:rPr>
                <w:rFonts w:asciiTheme="minorHAnsi" w:hAnsiTheme="minorHAnsi" w:cs="Arial"/>
                <w:b/>
                <w:bCs/>
                <w:sz w:val="24"/>
                <w:lang w:val="en"/>
              </w:rPr>
              <w:t>Unit prices in € exc. VAT</w:t>
            </w:r>
          </w:p>
        </w:tc>
      </w:tr>
      <w:tr w:rsidR="00C916C0" w:rsidRPr="00F11944" w14:paraId="5F11CAF0" w14:textId="77777777" w:rsidTr="002753BD">
        <w:tc>
          <w:tcPr>
            <w:tcW w:w="4395" w:type="dxa"/>
            <w:vAlign w:val="center"/>
          </w:tcPr>
          <w:p w14:paraId="7E906499" w14:textId="6529F7C1" w:rsidR="00C916C0" w:rsidRPr="00F11944" w:rsidRDefault="00C916C0" w:rsidP="004F541B">
            <w:pPr>
              <w:pStyle w:val="u"/>
              <w:widowControl w:val="0"/>
              <w:numPr>
                <w:ilvl w:val="12"/>
                <w:numId w:val="0"/>
              </w:numPr>
              <w:spacing w:before="60" w:after="60"/>
              <w:ind w:left="709"/>
              <w:jc w:val="left"/>
              <w:rPr>
                <w:rFonts w:asciiTheme="minorHAnsi" w:hAnsiTheme="minorHAnsi" w:cs="Arial"/>
                <w:sz w:val="24"/>
              </w:rPr>
            </w:pPr>
            <w:r w:rsidRPr="00FB29F7">
              <w:rPr>
                <w:rFonts w:asciiTheme="minorHAnsi" w:hAnsiTheme="minorHAnsi" w:cs="Arial"/>
                <w:sz w:val="24"/>
                <w:highlight w:val="yellow"/>
                <w:lang w:val="en"/>
              </w:rPr>
              <w:t>State the items</w:t>
            </w:r>
          </w:p>
        </w:tc>
        <w:tc>
          <w:tcPr>
            <w:tcW w:w="2409" w:type="dxa"/>
            <w:vAlign w:val="center"/>
          </w:tcPr>
          <w:p w14:paraId="047030EE" w14:textId="77777777" w:rsidR="00C916C0" w:rsidRPr="00F11944" w:rsidRDefault="00C916C0" w:rsidP="004F541B">
            <w:pPr>
              <w:pStyle w:val="u"/>
              <w:widowControl w:val="0"/>
              <w:numPr>
                <w:ilvl w:val="12"/>
                <w:numId w:val="0"/>
              </w:numPr>
              <w:spacing w:before="60" w:after="60"/>
              <w:jc w:val="center"/>
              <w:rPr>
                <w:rFonts w:asciiTheme="minorHAnsi" w:hAnsiTheme="minorHAnsi" w:cs="Arial"/>
                <w:sz w:val="24"/>
                <w:highlight w:val="yellow"/>
                <w:lang w:val="en-GB"/>
              </w:rPr>
            </w:pPr>
            <w:r w:rsidRPr="00F11944">
              <w:rPr>
                <w:rFonts w:asciiTheme="minorHAnsi" w:hAnsiTheme="minorHAnsi" w:cs="Arial"/>
                <w:sz w:val="24"/>
                <w:highlight w:val="yellow"/>
                <w:lang w:val="en"/>
              </w:rPr>
              <w:t xml:space="preserve">To be completed by the </w:t>
            </w:r>
            <w:r w:rsidRPr="00F11944">
              <w:rPr>
                <w:rFonts w:asciiTheme="minorHAnsi" w:hAnsiTheme="minorHAnsi" w:cs="Arial"/>
                <w:smallCaps/>
                <w:sz w:val="24"/>
                <w:highlight w:val="yellow"/>
                <w:lang w:val="en"/>
              </w:rPr>
              <w:t>Contractor</w:t>
            </w:r>
          </w:p>
        </w:tc>
      </w:tr>
    </w:tbl>
    <w:p w14:paraId="6A915485" w14:textId="29EB8CB8" w:rsidR="00AC78D7" w:rsidRPr="00F11944" w:rsidRDefault="00AC78D7" w:rsidP="005565DA">
      <w:pPr>
        <w:pStyle w:val="Titre3"/>
        <w:numPr>
          <w:ilvl w:val="0"/>
          <w:numId w:val="0"/>
        </w:numPr>
        <w:rPr>
          <w:b/>
          <w:i w:val="0"/>
          <w:noProof/>
          <w:lang w:val="en-GB"/>
        </w:rPr>
      </w:pPr>
      <w:r w:rsidRPr="00F11944">
        <w:rPr>
          <w:b/>
          <w:bCs/>
          <w:i w:val="0"/>
          <w:noProof/>
          <w:lang w:val="en"/>
        </w:rPr>
        <w:t>I.3.2 Price revisions</w:t>
      </w:r>
    </w:p>
    <w:p w14:paraId="760C8D07" w14:textId="700C0428" w:rsidR="0039009F" w:rsidRPr="00F11944" w:rsidRDefault="0039009F" w:rsidP="00DD5C22">
      <w:pPr>
        <w:jc w:val="both"/>
        <w:rPr>
          <w:sz w:val="24"/>
          <w:lang w:val="en-GB"/>
        </w:rPr>
      </w:pPr>
      <w:r w:rsidRPr="00F11944">
        <w:rPr>
          <w:sz w:val="24"/>
          <w:lang w:val="en"/>
        </w:rPr>
        <w:t xml:space="preserve">Prices are firm and not subject to revision throughout the term of the FWC. </w:t>
      </w:r>
    </w:p>
    <w:p w14:paraId="2D3BD6B1" w14:textId="13D283E4" w:rsidR="00AC78D7" w:rsidRPr="00F11944" w:rsidRDefault="00AC78D7" w:rsidP="005565DA">
      <w:pPr>
        <w:pStyle w:val="Titre3"/>
        <w:numPr>
          <w:ilvl w:val="0"/>
          <w:numId w:val="0"/>
        </w:numPr>
        <w:rPr>
          <w:b/>
          <w:i w:val="0"/>
          <w:noProof/>
          <w:lang w:val="en-GB"/>
        </w:rPr>
      </w:pPr>
      <w:r w:rsidRPr="00F11944">
        <w:rPr>
          <w:b/>
          <w:bCs/>
          <w:i w:val="0"/>
          <w:noProof/>
          <w:lang w:val="en"/>
        </w:rPr>
        <w:t>I.3.3.</w:t>
      </w:r>
      <w:r w:rsidRPr="00F11944">
        <w:rPr>
          <w:b/>
          <w:bCs/>
          <w:i w:val="0"/>
          <w:noProof/>
          <w:lang w:val="en"/>
        </w:rPr>
        <w:tab/>
        <w:t>Reimbursement of expenses</w:t>
      </w:r>
      <w:r w:rsidRPr="00F11944">
        <w:rPr>
          <w:i w:val="0"/>
          <w:noProof/>
          <w:vertAlign w:val="superscript"/>
          <w:lang w:val="en"/>
        </w:rPr>
        <w:footnoteReference w:id="4"/>
      </w:r>
    </w:p>
    <w:p w14:paraId="6BA80FD3" w14:textId="6C38A26E" w:rsidR="00AC78D7" w:rsidRPr="00F11944" w:rsidRDefault="00AC78D7" w:rsidP="006C528D">
      <w:pPr>
        <w:jc w:val="both"/>
        <w:rPr>
          <w:lang w:val="en-GB"/>
        </w:rPr>
      </w:pPr>
      <w:r w:rsidRPr="00F11944">
        <w:rPr>
          <w:sz w:val="24"/>
          <w:lang w:val="en"/>
        </w:rPr>
        <w:t xml:space="preserve">In addition to the maximum total price specified in each purchase order or specific contract, all travel, subsistence, accommodation and shipment expenses shall be reimbursed in accordance with Article II.16, as shall other expenses provided for by the tender specifications up to a maximum amount of </w:t>
      </w:r>
      <w:r w:rsidR="00FD4AA1" w:rsidRPr="00F11944">
        <w:rPr>
          <w:sz w:val="24"/>
          <w:lang w:val="en"/>
        </w:rPr>
        <w:t xml:space="preserve">thirty-five thousand </w:t>
      </w:r>
      <w:r w:rsidRPr="00F11944">
        <w:rPr>
          <w:sz w:val="24"/>
          <w:lang w:val="en"/>
        </w:rPr>
        <w:t>euros</w:t>
      </w:r>
      <w:r w:rsidR="009D7D6D">
        <w:rPr>
          <w:sz w:val="24"/>
          <w:lang w:val="en"/>
        </w:rPr>
        <w:t xml:space="preserve"> (35 000 €)</w:t>
      </w:r>
      <w:r w:rsidRPr="00F11944">
        <w:rPr>
          <w:sz w:val="24"/>
          <w:lang w:val="en"/>
        </w:rPr>
        <w:t>, throughout performance of the FWC</w:t>
      </w:r>
      <w:r w:rsidR="00FD4AA1" w:rsidRPr="00F11944">
        <w:rPr>
          <w:sz w:val="24"/>
          <w:lang w:val="en"/>
        </w:rPr>
        <w:t>.</w:t>
      </w:r>
    </w:p>
    <w:p w14:paraId="29741574" w14:textId="1F375140" w:rsidR="00AC78D7" w:rsidRPr="00EC5014" w:rsidRDefault="00AC78D7" w:rsidP="00AC78D7">
      <w:pPr>
        <w:jc w:val="both"/>
        <w:rPr>
          <w:sz w:val="24"/>
          <w:lang w:val="en-GB"/>
        </w:rPr>
      </w:pPr>
      <w:r w:rsidRPr="00F11944">
        <w:rPr>
          <w:sz w:val="24"/>
          <w:lang w:val="en"/>
        </w:rPr>
        <w:t>The daily subsistence allowance referred to in Article II.16.4 (d) and the accommodation flat-rate ceiling referred to in</w:t>
      </w:r>
      <w:r w:rsidR="00156BB1" w:rsidRPr="00F11944">
        <w:rPr>
          <w:sz w:val="24"/>
          <w:lang w:val="en"/>
        </w:rPr>
        <w:t xml:space="preserve"> Article II.16.4 (e) shall be</w:t>
      </w:r>
      <w:r w:rsidR="009D7D6D">
        <w:rPr>
          <w:sz w:val="24"/>
          <w:lang w:val="en"/>
        </w:rPr>
        <w:t xml:space="preserve"> </w:t>
      </w:r>
      <w:r w:rsidR="009D7D6D" w:rsidRPr="009D7D6D">
        <w:rPr>
          <w:sz w:val="24"/>
          <w:lang w:val="en"/>
        </w:rPr>
        <w:t>one hundred ninety-seven</w:t>
      </w:r>
      <w:r w:rsidR="00156BB1" w:rsidRPr="00F11944">
        <w:rPr>
          <w:sz w:val="24"/>
          <w:lang w:val="en"/>
        </w:rPr>
        <w:t xml:space="preserve"> </w:t>
      </w:r>
      <w:r w:rsidR="009D7D6D">
        <w:rPr>
          <w:sz w:val="24"/>
          <w:lang w:val="en"/>
        </w:rPr>
        <w:t>euros (</w:t>
      </w:r>
      <w:r w:rsidR="00156BB1" w:rsidRPr="00F11944">
        <w:rPr>
          <w:iCs/>
          <w:sz w:val="24"/>
          <w:lang w:val="en"/>
        </w:rPr>
        <w:t xml:space="preserve">197 </w:t>
      </w:r>
      <w:r w:rsidR="009D7D6D">
        <w:rPr>
          <w:sz w:val="24"/>
          <w:lang w:val="en"/>
        </w:rPr>
        <w:t>€)</w:t>
      </w:r>
      <w:r w:rsidR="00156BB1" w:rsidRPr="00F11944">
        <w:rPr>
          <w:sz w:val="24"/>
          <w:lang w:val="en"/>
        </w:rPr>
        <w:t>.</w:t>
      </w:r>
    </w:p>
    <w:p w14:paraId="506F4BFD" w14:textId="77777777" w:rsidR="00487D5D" w:rsidRPr="00EC5014" w:rsidRDefault="00487D5D" w:rsidP="00487D5D">
      <w:pPr>
        <w:pStyle w:val="Titre2"/>
        <w:rPr>
          <w:lang w:val="en-GB"/>
        </w:rPr>
      </w:pPr>
      <w:r>
        <w:rPr>
          <w:bCs/>
          <w:lang w:val="en"/>
        </w:rPr>
        <w:lastRenderedPageBreak/>
        <w:t>Article I.4 – Payment process and execution of the framework contract</w:t>
      </w:r>
      <w:r>
        <w:rPr>
          <w:rStyle w:val="Appelnotedebasdep"/>
          <w:bCs/>
          <w:i/>
          <w:iCs/>
          <w:sz w:val="24"/>
          <w:lang w:val="en"/>
        </w:rPr>
        <w:footnoteReference w:id="5"/>
      </w:r>
    </w:p>
    <w:p w14:paraId="58C30BD0" w14:textId="5F0CB213"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581D35C5" w:rsidR="00992186" w:rsidRPr="00EC5014" w:rsidRDefault="00235C0B" w:rsidP="00992186">
      <w:pPr>
        <w:suppressAutoHyphens/>
        <w:jc w:val="both"/>
        <w:rPr>
          <w:sz w:val="24"/>
          <w:lang w:val="en-GB"/>
        </w:rPr>
      </w:pPr>
      <w:r>
        <w:rPr>
          <w:sz w:val="24"/>
          <w:lang w:val="en"/>
        </w:rPr>
        <w:t xml:space="preserve"> </w:t>
      </w:r>
      <w:r w:rsidR="008F6F93">
        <w:rPr>
          <w:sz w:val="24"/>
          <w:lang w:val="en"/>
        </w:rPr>
        <w:t xml:space="preserve">Following emergence of its needs, </w:t>
      </w:r>
      <w:r w:rsidR="00F8787A">
        <w:rPr>
          <w:sz w:val="24"/>
          <w:lang w:val="en"/>
        </w:rPr>
        <w:t>Expertise France</w:t>
      </w:r>
      <w:r w:rsidR="008F6F93">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sidR="008F6F93">
        <w:rPr>
          <w:sz w:val="24"/>
          <w:lang w:val="en"/>
        </w:rPr>
        <w:t xml:space="preserve"> and forwarde</w:t>
      </w:r>
      <w:r>
        <w:rPr>
          <w:sz w:val="24"/>
          <w:lang w:val="en"/>
        </w:rPr>
        <w:t>d by e-mail to the Contractor.</w:t>
      </w:r>
    </w:p>
    <w:p w14:paraId="10DAEBC1" w14:textId="0162841D" w:rsidR="008F6F93" w:rsidRDefault="00487D5D" w:rsidP="00487D5D">
      <w:pPr>
        <w:suppressAutoHyphens/>
        <w:jc w:val="both"/>
        <w:rPr>
          <w:sz w:val="24"/>
          <w:lang w:val="en"/>
        </w:rPr>
      </w:pPr>
      <w:r>
        <w:rPr>
          <w:sz w:val="24"/>
          <w:lang w:val="en"/>
        </w:rPr>
        <w:t xml:space="preserve">The period allowed </w:t>
      </w:r>
      <w:r w:rsidR="00DD5C22">
        <w:rPr>
          <w:sz w:val="24"/>
          <w:lang w:val="en"/>
        </w:rPr>
        <w:t>for the execution of the tasks</w:t>
      </w:r>
      <w:r>
        <w:rPr>
          <w:sz w:val="24"/>
          <w:lang w:val="en"/>
        </w:rPr>
        <w:t xml:space="preserve"> shall start to run on th</w:t>
      </w:r>
      <w:r w:rsidR="00DD5C22">
        <w:rPr>
          <w:sz w:val="24"/>
          <w:lang w:val="en"/>
        </w:rPr>
        <w:t xml:space="preserve">e date of notification of the </w:t>
      </w:r>
      <w:r>
        <w:rPr>
          <w:sz w:val="24"/>
          <w:lang w:val="en"/>
        </w:rPr>
        <w:t>purchase order</w:t>
      </w:r>
      <w:r w:rsidR="00DD5C22">
        <w:rPr>
          <w:sz w:val="24"/>
          <w:lang w:val="en"/>
        </w:rPr>
        <w:t xml:space="preserve"> </w:t>
      </w:r>
      <w:r>
        <w:rPr>
          <w:sz w:val="24"/>
          <w:lang w:val="en"/>
        </w:rPr>
        <w:t>to the Contractor, unless a different</w:t>
      </w:r>
      <w:r w:rsidR="00DD5C22">
        <w:rPr>
          <w:sz w:val="24"/>
          <w:lang w:val="en"/>
        </w:rPr>
        <w:t xml:space="preserve"> date is stated in the document</w:t>
      </w:r>
      <w:r>
        <w:rPr>
          <w:sz w:val="24"/>
          <w:lang w:val="en"/>
        </w:rPr>
        <w:t>.</w:t>
      </w:r>
    </w:p>
    <w:p w14:paraId="6C4DC3A1" w14:textId="344882B8" w:rsidR="00235C0B" w:rsidRPr="00EC5014" w:rsidRDefault="00235C0B" w:rsidP="00235C0B">
      <w:pPr>
        <w:jc w:val="both"/>
        <w:rPr>
          <w:color w:val="000000"/>
          <w:sz w:val="24"/>
          <w:lang w:val="en-GB"/>
        </w:rPr>
      </w:pPr>
      <w:r>
        <w:rPr>
          <w:b/>
          <w:bCs/>
          <w:sz w:val="24"/>
          <w:lang w:val="en"/>
        </w:rPr>
        <w:t>I.4.2 Prefinancing</w:t>
      </w:r>
      <w:r>
        <w:rPr>
          <w:rStyle w:val="Appelnotedebasdep"/>
          <w:sz w:val="24"/>
          <w:lang w:val="en"/>
        </w:rPr>
        <w:footnoteReference w:id="6"/>
      </w:r>
    </w:p>
    <w:p w14:paraId="69B4559C" w14:textId="5309CF61" w:rsidR="00235C0B" w:rsidRPr="00235C0B" w:rsidRDefault="00235C0B" w:rsidP="00235C0B">
      <w:pPr>
        <w:jc w:val="both"/>
        <w:rPr>
          <w:lang w:val="en-GB"/>
        </w:rPr>
      </w:pPr>
      <w:r>
        <w:rPr>
          <w:sz w:val="24"/>
          <w:lang w:val="en"/>
        </w:rPr>
        <w:t>A pre-financing payment should be required.</w:t>
      </w:r>
    </w:p>
    <w:p w14:paraId="1F38932B" w14:textId="486A93F0" w:rsidR="00487D5D" w:rsidRPr="00EC5014" w:rsidRDefault="005B0E32" w:rsidP="00487D5D">
      <w:pPr>
        <w:jc w:val="both"/>
        <w:rPr>
          <w:lang w:val="en-GB"/>
        </w:rPr>
      </w:pPr>
      <w:r>
        <w:rPr>
          <w:b/>
          <w:bCs/>
          <w:noProof/>
          <w:color w:val="000000"/>
          <w:sz w:val="24"/>
          <w:lang w:val="en"/>
        </w:rPr>
        <w:t>I.4.</w:t>
      </w:r>
      <w:r w:rsidR="00235C0B">
        <w:rPr>
          <w:b/>
          <w:bCs/>
          <w:noProof/>
          <w:color w:val="000000"/>
          <w:sz w:val="24"/>
          <w:lang w:val="en"/>
        </w:rPr>
        <w:t>3</w:t>
      </w:r>
      <w:r>
        <w:rPr>
          <w:b/>
          <w:bCs/>
          <w:sz w:val="24"/>
          <w:lang w:val="en"/>
        </w:rPr>
        <w:tab/>
        <w:t>Interim payments</w:t>
      </w:r>
    </w:p>
    <w:p w14:paraId="13D24353" w14:textId="7DF5FD3D" w:rsidR="00FA54BA" w:rsidRPr="00EC5014" w:rsidRDefault="00FA54BA" w:rsidP="00DD5C22">
      <w:pPr>
        <w:jc w:val="both"/>
        <w:rPr>
          <w:sz w:val="24"/>
          <w:lang w:val="en-GB"/>
        </w:rPr>
      </w:pPr>
      <w:r>
        <w:rPr>
          <w:sz w:val="24"/>
          <w:lang w:val="en"/>
        </w:rPr>
        <w:t>No interim payments</w:t>
      </w:r>
      <w:r w:rsidR="00DD5C22">
        <w:rPr>
          <w:sz w:val="24"/>
          <w:lang w:val="en"/>
        </w:rPr>
        <w:t xml:space="preserve"> will be made to the Contractor</w:t>
      </w:r>
      <w:r>
        <w:rPr>
          <w:sz w:val="24"/>
          <w:lang w:val="en"/>
        </w:rPr>
        <w:t>.</w:t>
      </w:r>
    </w:p>
    <w:p w14:paraId="55A86B6A" w14:textId="74E0B7E5" w:rsidR="00487D5D" w:rsidRPr="00EC5014" w:rsidRDefault="00487D5D" w:rsidP="00487D5D">
      <w:pPr>
        <w:ind w:left="709" w:hanging="709"/>
        <w:jc w:val="both"/>
        <w:rPr>
          <w:b/>
          <w:color w:val="000000"/>
          <w:sz w:val="24"/>
          <w:lang w:val="en-GB"/>
        </w:rPr>
      </w:pPr>
      <w:r>
        <w:rPr>
          <w:b/>
          <w:bCs/>
          <w:noProof/>
          <w:color w:val="000000"/>
          <w:sz w:val="24"/>
          <w:lang w:val="en"/>
        </w:rPr>
        <w:t>I.4.</w:t>
      </w:r>
      <w:r w:rsidR="00235C0B">
        <w:rPr>
          <w:b/>
          <w:bCs/>
          <w:noProof/>
          <w:color w:val="000000"/>
          <w:sz w:val="24"/>
          <w:lang w:val="en"/>
        </w:rPr>
        <w:t>4</w:t>
      </w:r>
      <w:r>
        <w:rPr>
          <w:b/>
          <w:bCs/>
          <w:sz w:val="24"/>
          <w:lang w:val="en"/>
        </w:rPr>
        <w:t xml:space="preserve"> Payment of the balance</w:t>
      </w:r>
    </w:p>
    <w:p w14:paraId="65A79008" w14:textId="77777777" w:rsidR="00235C0B" w:rsidRDefault="00487D5D" w:rsidP="00235C0B">
      <w:pPr>
        <w:jc w:val="both"/>
        <w:rPr>
          <w:sz w:val="24"/>
          <w:lang w:val="en"/>
        </w:rPr>
      </w:pPr>
      <w:r>
        <w:rPr>
          <w:sz w:val="24"/>
          <w:lang w:val="en"/>
        </w:rPr>
        <w:t xml:space="preserve">The Contractor shall submit an invoice for payment of the balance. </w:t>
      </w:r>
    </w:p>
    <w:p w14:paraId="24315E5F" w14:textId="43887970" w:rsidR="00235C0B" w:rsidRPr="00235C0B" w:rsidRDefault="00235C0B" w:rsidP="00235C0B">
      <w:pPr>
        <w:jc w:val="both"/>
        <w:rPr>
          <w:sz w:val="24"/>
          <w:lang w:val="en"/>
        </w:rPr>
      </w:pPr>
      <w:r>
        <w:rPr>
          <w:sz w:val="24"/>
          <w:lang w:val="en"/>
        </w:rPr>
        <w:t>Expertise France shall make the payment within thirty days from receipt of the invoice.</w:t>
      </w:r>
    </w:p>
    <w:p w14:paraId="461E6DDA" w14:textId="2BEC2078" w:rsidR="00487D5D" w:rsidRPr="00A83237" w:rsidRDefault="00487D5D" w:rsidP="00487D5D">
      <w:pPr>
        <w:pStyle w:val="Titre2"/>
        <w:rPr>
          <w:lang w:val="en-US"/>
        </w:rPr>
      </w:pPr>
      <w:r>
        <w:rPr>
          <w:bCs/>
          <w:lang w:val="en"/>
        </w:rPr>
        <w:t>Article I.5 – Bank account</w:t>
      </w:r>
    </w:p>
    <w:p w14:paraId="18690EC0" w14:textId="77777777" w:rsidR="00487D5D" w:rsidRPr="00F11944" w:rsidRDefault="00487D5D" w:rsidP="00487D5D">
      <w:pPr>
        <w:jc w:val="both"/>
        <w:rPr>
          <w:sz w:val="24"/>
          <w:lang w:val="en-GB"/>
        </w:rPr>
      </w:pPr>
      <w:r w:rsidRPr="00F11944">
        <w:rPr>
          <w:sz w:val="24"/>
          <w:lang w:val="en"/>
        </w:rPr>
        <w:t>Payments shall be made to the Contractor’s bank account denominated in [euros][</w:t>
      </w:r>
      <w:r w:rsidRPr="00F11944">
        <w:rPr>
          <w:i/>
          <w:iCs/>
          <w:sz w:val="24"/>
          <w:lang w:val="en"/>
        </w:rPr>
        <w:t>insert local currency where the receiving country does not allow transactions in euros</w:t>
      </w:r>
      <w:r w:rsidRPr="00F11944">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F11944"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F11944" w:rsidRDefault="00C94CBC" w:rsidP="00EA6111">
            <w:pPr>
              <w:rPr>
                <w:rFonts w:eastAsia="Calibri"/>
                <w:sz w:val="22"/>
                <w:szCs w:val="22"/>
              </w:rPr>
            </w:pPr>
            <w:r w:rsidRPr="00F11944">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F11944" w:rsidRDefault="00C94CBC" w:rsidP="00EA6111">
            <w:pPr>
              <w:rPr>
                <w:rFonts w:eastAsia="Calibri"/>
                <w:sz w:val="22"/>
                <w:szCs w:val="22"/>
              </w:rPr>
            </w:pPr>
            <w:r w:rsidRPr="00F11944">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F11944" w:rsidRDefault="00C94CBC" w:rsidP="00EA6111">
            <w:pPr>
              <w:rPr>
                <w:rFonts w:eastAsia="Calibri"/>
                <w:sz w:val="22"/>
                <w:szCs w:val="22"/>
              </w:rPr>
            </w:pPr>
            <w:r w:rsidRPr="00F11944">
              <w:rPr>
                <w:rFonts w:eastAsia="Calibri"/>
                <w:sz w:val="22"/>
                <w:szCs w:val="22"/>
                <w:lang w:val="en"/>
              </w:rPr>
              <w:t>Account no./key</w:t>
            </w:r>
          </w:p>
          <w:p w14:paraId="7BF25FDE" w14:textId="77777777" w:rsidR="00C94CBC" w:rsidRPr="00F11944" w:rsidRDefault="00C94CBC" w:rsidP="00EA6111">
            <w:pPr>
              <w:rPr>
                <w:rFonts w:eastAsia="Calibri"/>
                <w:sz w:val="22"/>
                <w:szCs w:val="22"/>
              </w:rPr>
            </w:pPr>
          </w:p>
        </w:tc>
      </w:tr>
      <w:tr w:rsidR="00C94CBC" w:rsidRPr="00F11944"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F11944" w:rsidRDefault="00C94CBC" w:rsidP="00EA6111">
            <w:pPr>
              <w:rPr>
                <w:rFonts w:eastAsia="Calibri"/>
                <w:sz w:val="22"/>
                <w:szCs w:val="22"/>
                <w:highlight w:val="yellow"/>
                <w:lang w:val="en-GB"/>
              </w:rPr>
            </w:pPr>
            <w:r w:rsidRPr="00F11944">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F11944" w:rsidRDefault="002C63E9" w:rsidP="00EA6111">
            <w:pPr>
              <w:rPr>
                <w:rFonts w:eastAsia="Calibri"/>
                <w:sz w:val="22"/>
                <w:szCs w:val="22"/>
                <w:highlight w:val="yellow"/>
                <w:lang w:val="en-GB"/>
              </w:rPr>
            </w:pPr>
            <w:r w:rsidRPr="00F11944">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F11944" w:rsidRDefault="002C63E9" w:rsidP="00EA6111">
            <w:pPr>
              <w:rPr>
                <w:rFonts w:eastAsia="Calibri"/>
                <w:sz w:val="22"/>
                <w:szCs w:val="22"/>
                <w:highlight w:val="yellow"/>
                <w:lang w:val="en-GB"/>
              </w:rPr>
            </w:pPr>
            <w:r w:rsidRPr="00F11944">
              <w:rPr>
                <w:rFonts w:eastAsia="Calibri"/>
                <w:sz w:val="22"/>
                <w:szCs w:val="22"/>
                <w:highlight w:val="yellow"/>
                <w:lang w:val="en"/>
              </w:rPr>
              <w:t>To be completed by the bidder</w:t>
            </w:r>
          </w:p>
        </w:tc>
      </w:tr>
    </w:tbl>
    <w:p w14:paraId="058CAC96" w14:textId="16C33ACD" w:rsidR="00C94CBC" w:rsidRPr="00F11944" w:rsidRDefault="00C94CBC" w:rsidP="00C94CBC">
      <w:pPr>
        <w:spacing w:after="0" w:afterAutospacing="0"/>
        <w:ind w:left="709" w:firstLine="709"/>
        <w:rPr>
          <w:rFonts w:eastAsia="Calibri"/>
          <w:sz w:val="22"/>
          <w:szCs w:val="22"/>
          <w:lang w:val="en-GB"/>
        </w:rPr>
      </w:pPr>
      <w:r w:rsidRPr="00F11944">
        <w:rPr>
          <w:rFonts w:eastAsia="Calibri"/>
          <w:sz w:val="22"/>
          <w:szCs w:val="22"/>
          <w:lang w:val="en"/>
        </w:rPr>
        <w:t>IBAN</w:t>
      </w:r>
      <w:r w:rsidRPr="00F11944">
        <w:rPr>
          <w:rStyle w:val="Appelnotedebasdep"/>
          <w:sz w:val="24"/>
          <w:lang w:val="en"/>
        </w:rPr>
        <w:footnoteReference w:id="7"/>
      </w:r>
      <w:r w:rsidRPr="00F11944">
        <w:rPr>
          <w:rFonts w:eastAsia="Calibri"/>
          <w:sz w:val="22"/>
          <w:szCs w:val="22"/>
          <w:lang w:val="en"/>
        </w:rPr>
        <w:t xml:space="preserve">: </w:t>
      </w:r>
      <w:r w:rsidRPr="00FB29F7">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sidRPr="00F11944">
        <w:rPr>
          <w:rFonts w:eastAsia="Calibri"/>
          <w:sz w:val="22"/>
          <w:szCs w:val="22"/>
          <w:lang w:val="en"/>
        </w:rPr>
        <w:t xml:space="preserve">BIC: </w:t>
      </w:r>
      <w:r w:rsidRPr="00FB29F7">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lastRenderedPageBreak/>
        <w:t>Article I.6 – Communication and data controller</w:t>
      </w:r>
    </w:p>
    <w:p w14:paraId="5E6F4234" w14:textId="77777777" w:rsidR="00EA0E0D" w:rsidRDefault="00487D5D" w:rsidP="00487D5D">
      <w:pPr>
        <w:jc w:val="both"/>
        <w:rPr>
          <w:sz w:val="24"/>
          <w:lang w:val="en"/>
        </w:rPr>
      </w:pPr>
      <w:r>
        <w:rPr>
          <w:sz w:val="24"/>
          <w:lang w:val="en"/>
        </w:rPr>
        <w:t xml:space="preserve">For the purpose of Article II.6, the data controller shall be </w:t>
      </w:r>
      <w:r>
        <w:rPr>
          <w:sz w:val="24"/>
          <w:highlight w:val="yellow"/>
          <w:lang w:val="en"/>
        </w:rPr>
        <w:t>[</w:t>
      </w:r>
      <w:r>
        <w:rPr>
          <w:i/>
          <w:iCs/>
          <w:sz w:val="24"/>
          <w:highlight w:val="yellow"/>
          <w:lang w:val="en"/>
        </w:rPr>
        <w:t>name of entity</w:t>
      </w:r>
      <w:r>
        <w:rPr>
          <w:sz w:val="24"/>
          <w:highlight w:val="yellow"/>
          <w:lang w:val="en"/>
        </w:rPr>
        <w:t>]</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EC5014" w:rsidRDefault="002A4BF4" w:rsidP="00487D5D">
      <w:pPr>
        <w:ind w:left="567"/>
        <w:jc w:val="both"/>
        <w:outlineLvl w:val="0"/>
        <w:rPr>
          <w:sz w:val="24"/>
          <w:lang w:val="en-GB"/>
        </w:rPr>
      </w:pPr>
      <w:r>
        <w:rPr>
          <w:sz w:val="24"/>
          <w:u w:val="single"/>
          <w:lang w:val="en"/>
        </w:rPr>
        <w:t>Expertise France</w:t>
      </w:r>
      <w:r w:rsidR="00487D5D">
        <w:rPr>
          <w:sz w:val="24"/>
          <w:lang w:val="en"/>
        </w:rPr>
        <w:t>:</w:t>
      </w:r>
    </w:p>
    <w:p w14:paraId="12E4620F" w14:textId="77777777" w:rsidR="00DD5C22" w:rsidRPr="00F11944" w:rsidRDefault="002C63E9" w:rsidP="00DD5C22">
      <w:pPr>
        <w:spacing w:after="0" w:afterAutospacing="0"/>
        <w:ind w:left="567"/>
        <w:outlineLvl w:val="0"/>
        <w:rPr>
          <w:sz w:val="24"/>
          <w:lang w:val="en"/>
        </w:rPr>
      </w:pPr>
      <w:r>
        <w:rPr>
          <w:sz w:val="24"/>
          <w:lang w:val="en"/>
        </w:rPr>
        <w:t xml:space="preserve">Department </w:t>
      </w:r>
      <w:r w:rsidR="00DD5C22">
        <w:rPr>
          <w:sz w:val="24"/>
          <w:lang w:val="en"/>
        </w:rPr>
        <w:t>o</w:t>
      </w:r>
      <w:r w:rsidR="00DD5C22" w:rsidRPr="00DD5C22">
        <w:rPr>
          <w:sz w:val="24"/>
          <w:lang w:val="en"/>
        </w:rPr>
        <w:t xml:space="preserve">f </w:t>
      </w:r>
      <w:r w:rsidR="00DD5C22" w:rsidRPr="00F11944">
        <w:rPr>
          <w:sz w:val="24"/>
          <w:lang w:val="en"/>
        </w:rPr>
        <w:t xml:space="preserve">Sustainable and Inclusive Economy </w:t>
      </w:r>
    </w:p>
    <w:p w14:paraId="4C53E2B1" w14:textId="4C37C744" w:rsidR="00487D5D" w:rsidRPr="00F11944" w:rsidRDefault="002C63E9" w:rsidP="00DD5C22">
      <w:pPr>
        <w:spacing w:after="0" w:afterAutospacing="0"/>
        <w:ind w:left="567"/>
        <w:outlineLvl w:val="0"/>
        <w:rPr>
          <w:sz w:val="24"/>
          <w:lang w:val="en"/>
        </w:rPr>
      </w:pPr>
      <w:r w:rsidRPr="00F11944">
        <w:rPr>
          <w:sz w:val="24"/>
          <w:lang w:val="en"/>
        </w:rPr>
        <w:t>40, boulevard de Port</w:t>
      </w:r>
      <w:r w:rsidR="00EA0E0D" w:rsidRPr="00F11944">
        <w:rPr>
          <w:sz w:val="24"/>
          <w:lang w:val="en"/>
        </w:rPr>
        <w:t>-</w:t>
      </w:r>
      <w:r w:rsidRPr="00F11944">
        <w:rPr>
          <w:sz w:val="24"/>
          <w:lang w:val="en"/>
        </w:rPr>
        <w:t>Royal</w:t>
      </w:r>
      <w:r w:rsidRPr="00F11944">
        <w:rPr>
          <w:sz w:val="24"/>
          <w:lang w:val="en"/>
        </w:rPr>
        <w:br/>
        <w:t>75005 PARIS</w:t>
      </w:r>
      <w:r w:rsidR="00EA0E0D" w:rsidRPr="00F11944">
        <w:rPr>
          <w:sz w:val="24"/>
          <w:lang w:val="en"/>
        </w:rPr>
        <w:t>, FRANCE</w:t>
      </w:r>
    </w:p>
    <w:p w14:paraId="492C805C" w14:textId="6E704ED6" w:rsidR="00487D5D" w:rsidRPr="00EC5014" w:rsidRDefault="00487D5D" w:rsidP="002A4BF4">
      <w:pPr>
        <w:tabs>
          <w:tab w:val="left" w:pos="510"/>
          <w:tab w:val="num" w:pos="1485"/>
          <w:tab w:val="left" w:pos="10977"/>
        </w:tabs>
        <w:spacing w:before="0" w:beforeAutospacing="0"/>
        <w:ind w:left="567"/>
        <w:jc w:val="both"/>
        <w:outlineLvl w:val="0"/>
        <w:rPr>
          <w:i/>
          <w:sz w:val="24"/>
          <w:u w:val="single"/>
          <w:lang w:val="en-GB"/>
        </w:rPr>
      </w:pPr>
      <w:r w:rsidRPr="00F11944">
        <w:rPr>
          <w:sz w:val="24"/>
          <w:lang w:val="en"/>
        </w:rPr>
        <w:t xml:space="preserve">E-mail: </w:t>
      </w:r>
      <w:r w:rsidR="00DD5C22" w:rsidRPr="00F11944">
        <w:rPr>
          <w:sz w:val="24"/>
          <w:lang w:val="en"/>
        </w:rPr>
        <w:t>nicolas.mann@expertisefrance.fr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1BEFC884"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tender specifications (Annex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6F2CBC3A" w14:textId="0D6C521C" w:rsidR="00235C0B" w:rsidRPr="00235C0B" w:rsidRDefault="00353BD9" w:rsidP="00353BD9">
      <w:pPr>
        <w:jc w:val="both"/>
        <w:rPr>
          <w:sz w:val="24"/>
          <w:lang w:val="en"/>
        </w:rPr>
      </w:pPr>
      <w:r>
        <w:rPr>
          <w:sz w:val="24"/>
          <w:lang w:val="en"/>
        </w:rPr>
        <w:t>Al</w:t>
      </w:r>
      <w:r w:rsidR="00235C0B">
        <w:rPr>
          <w:sz w:val="24"/>
          <w:lang w:val="en"/>
        </w:rPr>
        <w:t xml:space="preserve">l pre-existing rights shall </w:t>
      </w:r>
      <w:r w:rsidR="00235C0B" w:rsidRPr="00F11944">
        <w:rPr>
          <w:sz w:val="24"/>
          <w:lang w:val="en"/>
        </w:rPr>
        <w:t>be l</w:t>
      </w:r>
      <w:r w:rsidRPr="00F11944">
        <w:rPr>
          <w:sz w:val="24"/>
          <w:lang w:val="en"/>
        </w:rPr>
        <w:t>icensed to Expertise France in a</w:t>
      </w:r>
      <w:r w:rsidR="00235C0B" w:rsidRPr="00F11944">
        <w:rPr>
          <w:sz w:val="24"/>
          <w:lang w:val="en"/>
        </w:rPr>
        <w:t xml:space="preserve">ccordance with Article II.10.3. </w:t>
      </w:r>
      <w:r w:rsidRPr="00F11944">
        <w:rPr>
          <w:sz w:val="24"/>
          <w:lang w:val="en"/>
        </w:rPr>
        <w:t xml:space="preserve">fully and irrevocably acquired by </w:t>
      </w:r>
      <w:r w:rsidR="00F8787A" w:rsidRPr="00F11944">
        <w:rPr>
          <w:sz w:val="24"/>
          <w:lang w:val="en"/>
        </w:rPr>
        <w:t>Expertise France</w:t>
      </w:r>
      <w:r w:rsidRPr="00F11944">
        <w:rPr>
          <w:sz w:val="24"/>
          <w:lang w:val="en"/>
        </w:rPr>
        <w:t xml:space="preserve"> as provided for in Article II.10.2 and by way of de</w:t>
      </w:r>
      <w:r w:rsidR="00235C0B" w:rsidRPr="00F11944">
        <w:rPr>
          <w:sz w:val="24"/>
          <w:lang w:val="en"/>
        </w:rPr>
        <w:t>rogation from Article II.10.3.</w:t>
      </w:r>
    </w:p>
    <w:p w14:paraId="0171A22E" w14:textId="26344B43" w:rsidR="00353BD9" w:rsidRPr="00EC5014" w:rsidRDefault="00353BD9" w:rsidP="00353BD9">
      <w:pPr>
        <w:pStyle w:val="Titre2"/>
        <w:rPr>
          <w:lang w:val="en-GB"/>
        </w:rPr>
      </w:pPr>
      <w:r>
        <w:rPr>
          <w:bCs/>
          <w:lang w:val="en"/>
        </w:rPr>
        <w:lastRenderedPageBreak/>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75D23CFF" w:rsidR="00353BD9" w:rsidRPr="00EC5014" w:rsidRDefault="00353BD9" w:rsidP="00353BD9">
      <w:pPr>
        <w:pStyle w:val="Titre2"/>
        <w:rPr>
          <w:lang w:val="en-GB"/>
        </w:rPr>
      </w:pPr>
      <w:r>
        <w:rPr>
          <w:bCs/>
          <w:lang w:val="en"/>
        </w:rPr>
        <w:t>Article I.10 – Other special</w:t>
      </w:r>
      <w:r w:rsidR="004576C9">
        <w:rPr>
          <w:bCs/>
          <w:lang w:val="en"/>
        </w:rPr>
        <w:t xml:space="preserve"> conditions</w:t>
      </w:r>
    </w:p>
    <w:p w14:paraId="22CE70DF" w14:textId="606EBB2B"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26882954" w:rsidR="00745209" w:rsidRPr="00EC5014" w:rsidRDefault="00E05388" w:rsidP="00745209">
      <w:pPr>
        <w:jc w:val="both"/>
        <w:rPr>
          <w:sz w:val="24"/>
          <w:lang w:val="en-GB"/>
        </w:rPr>
      </w:pPr>
      <w:r>
        <w:rPr>
          <w:sz w:val="24"/>
          <w:lang w:val="en"/>
        </w:rPr>
        <w:t>Example </w:t>
      </w:r>
      <w:bookmarkStart w:id="0" w:name="_GoBack"/>
      <w:bookmarkEnd w:id="0"/>
      <w:r w:rsidR="00745209">
        <w:rPr>
          <w:sz w:val="24"/>
          <w:lang w:val="en"/>
        </w:rPr>
        <w:t>: Revision of technical elements (clarification of deliverables, producer technical definitions, equipment technical documen</w:t>
      </w:r>
      <w:r w:rsidR="004576C9">
        <w:rPr>
          <w:sz w:val="24"/>
          <w:lang w:val="en"/>
        </w:rPr>
        <w:t>ts, updated instructions, etc.)</w:t>
      </w:r>
      <w:r w:rsidR="00745209">
        <w:rPr>
          <w:sz w:val="24"/>
          <w:lang w:val="en"/>
        </w:rPr>
        <w:t>.</w:t>
      </w:r>
    </w:p>
    <w:p w14:paraId="4CD4FB24" w14:textId="4D3483A7" w:rsidR="00745209" w:rsidRPr="00EC5014" w:rsidRDefault="00745209" w:rsidP="00745209">
      <w:pPr>
        <w:jc w:val="both"/>
        <w:rPr>
          <w:sz w:val="24"/>
          <w:lang w:val="en-GB"/>
        </w:rPr>
      </w:pPr>
      <w:r>
        <w:rPr>
          <w:sz w:val="24"/>
          <w:lang w:val="en"/>
        </w:rPr>
        <w:t xml:space="preserve">Such modifications shall be notified to the Contractor: </w:t>
      </w:r>
      <w:r w:rsidR="004576C9">
        <w:rPr>
          <w:sz w:val="24"/>
          <w:lang w:val="en"/>
        </w:rPr>
        <w:t>by concluding an amendment</w:t>
      </w:r>
      <w:r>
        <w:rPr>
          <w:sz w:val="24"/>
          <w:lang w:val="en"/>
        </w:rPr>
        <w:t>.</w:t>
      </w:r>
    </w:p>
    <w:p w14:paraId="5AE304DB" w14:textId="3B0BBA9F"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0C0B6EC3" w14:textId="59000F75" w:rsidR="002B52CA" w:rsidRPr="00EC5014" w:rsidRDefault="004576C9" w:rsidP="00BF67F2">
      <w:pPr>
        <w:jc w:val="both"/>
        <w:rPr>
          <w:sz w:val="24"/>
          <w:lang w:val="en-GB"/>
        </w:rPr>
      </w:pPr>
      <w:r>
        <w:rPr>
          <w:sz w:val="24"/>
          <w:lang w:val="en"/>
        </w:rPr>
        <w:t xml:space="preserve"> </w:t>
      </w:r>
      <w:r w:rsidR="00BF67F2">
        <w:rPr>
          <w:sz w:val="24"/>
          <w:lang w:val="en"/>
        </w:rPr>
        <w:t>Penalties are set at the fixed rate of €100 net per day of delay in the delivery of final deliverables under the relevant speci</w:t>
      </w:r>
      <w:r>
        <w:rPr>
          <w:sz w:val="24"/>
          <w:lang w:val="en"/>
        </w:rPr>
        <w:t>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42BC5BC5" w:rsidR="00BF67F2" w:rsidRPr="00EC5014" w:rsidRDefault="00BF67F2" w:rsidP="00BF67F2">
      <w:pPr>
        <w:jc w:val="both"/>
        <w:rPr>
          <w:sz w:val="24"/>
          <w:lang w:val="en-GB"/>
        </w:rPr>
      </w:pPr>
      <w:r>
        <w:rPr>
          <w:sz w:val="24"/>
          <w:lang w:val="en"/>
        </w:rPr>
        <w:t>In all circumstances, the amount of penalties may not exceed 10% of the total value of the relevant specific contract or</w:t>
      </w:r>
      <w:r w:rsidR="004576C9">
        <w:rPr>
          <w:sz w:val="24"/>
          <w:lang w:val="en"/>
        </w:rPr>
        <w:t xml:space="preserve"> purchase order.</w:t>
      </w: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78416E40" w14:textId="4DB39B55" w:rsidR="00E74327" w:rsidRPr="00F11944"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r w:rsidR="00D16C45" w:rsidRPr="00F11944">
              <w:rPr>
                <w:rFonts w:cs="Arial"/>
                <w:sz w:val="24"/>
                <w:lang w:val="en"/>
              </w:rPr>
              <w:t>Mann Nicolas</w:t>
            </w:r>
          </w:p>
          <w:p w14:paraId="79178C3F" w14:textId="2EA76D6D" w:rsidR="00E74327" w:rsidRPr="00094467" w:rsidRDefault="007C738B" w:rsidP="00E74327">
            <w:pPr>
              <w:tabs>
                <w:tab w:val="right" w:pos="5557"/>
              </w:tabs>
              <w:autoSpaceDE w:val="0"/>
              <w:autoSpaceDN w:val="0"/>
              <w:adjustRightInd w:val="0"/>
              <w:spacing w:before="60" w:after="60"/>
              <w:jc w:val="both"/>
              <w:rPr>
                <w:rFonts w:cs="Arial"/>
                <w:sz w:val="24"/>
              </w:rPr>
            </w:pPr>
            <w:r w:rsidRPr="00F11944">
              <w:rPr>
                <w:rFonts w:cs="Arial"/>
                <w:sz w:val="24"/>
                <w:lang w:val="en"/>
              </w:rPr>
              <w:t>Role</w:t>
            </w:r>
            <w:r w:rsidR="00E74327" w:rsidRPr="00F11944">
              <w:rPr>
                <w:rFonts w:cs="Arial"/>
                <w:sz w:val="24"/>
                <w:lang w:val="en"/>
              </w:rPr>
              <w:t xml:space="preserve">: </w:t>
            </w:r>
            <w:r w:rsidR="00D16C45" w:rsidRPr="00F11944">
              <w:rPr>
                <w:rFonts w:cs="Arial"/>
                <w:sz w:val="24"/>
                <w:lang w:val="en"/>
              </w:rPr>
              <w:t>Project Lead Regenerative Nature Base Tourism Development</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r>
        <w:rPr>
          <w:bCs/>
          <w:sz w:val="24"/>
        </w:rPr>
        <w:t>Meat;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FB29F7" w:rsidP="004E6AAA">
      <w:pPr>
        <w:spacing w:before="0" w:beforeAutospacing="0" w:after="0" w:afterAutospacing="0"/>
        <w:ind w:left="851"/>
        <w:jc w:val="both"/>
        <w:outlineLvl w:val="0"/>
        <w:rPr>
          <w:bCs/>
          <w:sz w:val="24"/>
          <w:lang w:val="en-GB"/>
        </w:rPr>
      </w:pPr>
      <w:hyperlink r:id="rId21"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2"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3"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1FAB1631" w14:textId="4CCEC61A" w:rsidR="00883FD7" w:rsidRPr="00EC5014" w:rsidRDefault="00CB13ED" w:rsidP="00D16C45">
      <w:pPr>
        <w:ind w:left="851" w:hanging="851"/>
        <w:jc w:val="both"/>
        <w:rPr>
          <w:sz w:val="24"/>
          <w:lang w:val="en-GB"/>
        </w:rPr>
        <w:sectPr w:rsidR="00883FD7" w:rsidRPr="00EC5014" w:rsidSect="00BA396D">
          <w:headerReference w:type="default" r:id="rId24"/>
          <w:footerReference w:type="even" r:id="rId25"/>
          <w:headerReference w:type="first" r:id="rId26"/>
          <w:footerReference w:type="first" r:id="rId27"/>
          <w:pgSz w:w="11906" w:h="16838"/>
          <w:pgMar w:top="1021" w:right="991" w:bottom="1021" w:left="1588" w:header="720" w:footer="720" w:gutter="0"/>
          <w:cols w:space="720"/>
          <w:titlePg/>
        </w:sect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w:t>
      </w:r>
      <w:r w:rsidR="00D16C45">
        <w:rPr>
          <w:bCs/>
          <w:noProof/>
          <w:sz w:val="24"/>
          <w:lang w:val="en-GB"/>
        </w:rPr>
        <w:t>t contract without compensation.</w:t>
      </w:r>
    </w:p>
    <w:p w14:paraId="1734AF33" w14:textId="57596C05" w:rsidR="00D16C45" w:rsidRPr="00DB758F" w:rsidRDefault="00D16C45" w:rsidP="004576C9">
      <w:pPr>
        <w:pBdr>
          <w:top w:val="single" w:sz="4" w:space="1" w:color="auto"/>
          <w:left w:val="single" w:sz="4" w:space="4" w:color="auto"/>
          <w:bottom w:val="single" w:sz="4" w:space="1" w:color="auto"/>
          <w:right w:val="single" w:sz="4" w:space="4" w:color="auto"/>
        </w:pBdr>
        <w:rPr>
          <w:sz w:val="24"/>
        </w:rPr>
      </w:pPr>
    </w:p>
    <w:sectPr w:rsidR="00D16C45" w:rsidRPr="00DB758F" w:rsidSect="004576C9">
      <w:headerReference w:type="default" r:id="rId28"/>
      <w:footerReference w:type="first" r:id="rId29"/>
      <w:pgSz w:w="11906" w:h="16838"/>
      <w:pgMar w:top="1021" w:right="991" w:bottom="1021" w:left="1588" w:header="720" w:footer="720"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072D6" w14:textId="77777777" w:rsidR="007B572B" w:rsidRDefault="007B572B">
      <w:r>
        <w:separator/>
      </w:r>
    </w:p>
  </w:endnote>
  <w:endnote w:type="continuationSeparator" w:id="0">
    <w:p w14:paraId="0DACE893" w14:textId="77777777" w:rsidR="007B572B" w:rsidRDefault="007B5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FB29F7" w:rsidRDefault="00FB29F7"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FB29F7" w:rsidRDefault="00FB29F7">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FB29F7" w:rsidRPr="00180F28" w:rsidRDefault="00FB29F7"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3C36A1CB" w:rsidR="00FB29F7" w:rsidRPr="00BA396D" w:rsidRDefault="00FB29F7"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E05388">
          <w:rPr>
            <w:rFonts w:ascii="Calibri" w:eastAsia="Times" w:hAnsi="Calibri"/>
            <w:noProof/>
            <w:szCs w:val="20"/>
            <w:lang w:val="en"/>
          </w:rPr>
          <w:t>9</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E05388">
          <w:rPr>
            <w:rFonts w:ascii="Calibri" w:eastAsia="Times" w:hAnsi="Calibri"/>
            <w:noProof/>
            <w:szCs w:val="20"/>
            <w:lang w:val="en"/>
          </w:rPr>
          <w:t>34</w:t>
        </w:r>
        <w:r>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FB29F7" w:rsidRPr="006E44C4" w:rsidRDefault="00FB29F7"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sdt>
            <w:sdtPr>
              <w:rPr>
                <w:rFonts w:ascii="Calibri" w:eastAsia="Times" w:hAnsi="Calibri"/>
                <w:sz w:val="22"/>
                <w:szCs w:val="22"/>
              </w:rPr>
              <w:id w:val="-258606523"/>
              <w:docPartObj>
                <w:docPartGallery w:val="Page Numbers (Top of Page)"/>
                <w:docPartUnique/>
              </w:docPartObj>
            </w:sdtPr>
            <w:sdtContent>
              <w:p w14:paraId="68E9D795" w14:textId="0D92B33E" w:rsidR="00FB29F7" w:rsidRPr="00EC5014" w:rsidRDefault="00FB29F7"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9D7D6D">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9D7D6D">
                  <w:rPr>
                    <w:rFonts w:ascii="Calibri" w:eastAsia="Times" w:hAnsi="Calibri"/>
                    <w:noProof/>
                    <w:sz w:val="22"/>
                    <w:szCs w:val="22"/>
                    <w:lang w:val="en"/>
                  </w:rPr>
                  <w:t>34</w:t>
                </w:r>
                <w:r>
                  <w:rPr>
                    <w:rFonts w:ascii="Calibri" w:eastAsia="Times" w:hAnsi="Calibri"/>
                    <w:sz w:val="22"/>
                    <w:szCs w:val="22"/>
                    <w:lang w:val="en"/>
                  </w:rPr>
                  <w:fldChar w:fldCharType="end"/>
                </w:r>
              </w:p>
            </w:sdtContent>
          </w:sdt>
          <w:p w14:paraId="741500F7" w14:textId="3B8D9A67" w:rsidR="00FB29F7" w:rsidRDefault="00FB29F7"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FB29F7" w:rsidRDefault="00FB29F7"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FB29F7" w:rsidRPr="002339BE" w:rsidRDefault="00FB29F7"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FB29F7" w:rsidRDefault="00FB29F7"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FB29F7" w:rsidRDefault="00FB29F7">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FB29F7" w:rsidRPr="00180F28" w:rsidRDefault="00FB29F7">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5653335A" w:rsidR="00FB29F7" w:rsidRPr="00BA396D" w:rsidRDefault="00FB29F7"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9D7D6D">
          <w:rPr>
            <w:rFonts w:ascii="Calibri" w:eastAsia="Times" w:hAnsi="Calibri"/>
            <w:noProof/>
            <w:szCs w:val="20"/>
            <w:lang w:val="en"/>
          </w:rPr>
          <w:t>12</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9D7D6D">
          <w:rPr>
            <w:rFonts w:ascii="Calibri" w:eastAsia="Times" w:hAnsi="Calibri"/>
            <w:noProof/>
            <w:szCs w:val="20"/>
            <w:lang w:val="en"/>
          </w:rPr>
          <w:t>34</w:t>
        </w:r>
        <w:r>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FB29F7" w:rsidRPr="006E44C4" w:rsidRDefault="00FB29F7"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Content>
              <w:p w14:paraId="6A249348" w14:textId="2974AFB9" w:rsidR="00FB29F7" w:rsidRPr="00CA42BC" w:rsidRDefault="00FB29F7"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9CAA6" w14:textId="77777777" w:rsidR="007B572B" w:rsidRDefault="007B572B">
      <w:r>
        <w:separator/>
      </w:r>
    </w:p>
  </w:footnote>
  <w:footnote w:type="continuationSeparator" w:id="0">
    <w:p w14:paraId="47535EB2" w14:textId="77777777" w:rsidR="007B572B" w:rsidRDefault="007B572B">
      <w:r>
        <w:continuationSeparator/>
      </w:r>
    </w:p>
  </w:footnote>
  <w:footnote w:id="1">
    <w:p w14:paraId="661FAB0E" w14:textId="05034CA9" w:rsidR="00FB29F7" w:rsidRPr="00EC5014" w:rsidRDefault="00FB29F7"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FB29F7" w:rsidRPr="00EC5014" w:rsidRDefault="00FB29F7"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1A3F39F9" w14:textId="77777777" w:rsidR="00FB29F7" w:rsidRPr="00EC5014" w:rsidRDefault="00FB29F7" w:rsidP="006C528D">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4">
    <w:p w14:paraId="207D65D6" w14:textId="77777777" w:rsidR="00FB29F7" w:rsidRPr="00EC5014" w:rsidRDefault="00FB29F7" w:rsidP="00AC78D7">
      <w:pPr>
        <w:pStyle w:val="Notedebasdepage"/>
        <w:rPr>
          <w:lang w:val="en-GB"/>
        </w:rPr>
      </w:pPr>
      <w:r>
        <w:rPr>
          <w:rStyle w:val="Appelnotedebasdep"/>
          <w:lang w:val="en"/>
        </w:rPr>
        <w:footnoteRef/>
      </w:r>
      <w:r>
        <w:rPr>
          <w:lang w:val="en"/>
        </w:rPr>
        <w:t xml:space="preserve"> </w:t>
      </w:r>
      <w:r>
        <w:rPr>
          <w:lang w:val="en"/>
        </w:rPr>
        <w:tab/>
        <w:t>It is strongly recommended to allow for a total price covering all elements of the services such that this option may be deleted, apart from in exceptional circumstances. In principle, if expenses are to be reimbursed, the terms must be defined in the FWC and not in the purchase order or specific contract.</w:t>
      </w:r>
    </w:p>
  </w:footnote>
  <w:footnote w:id="5">
    <w:p w14:paraId="215D2D1D" w14:textId="77777777" w:rsidR="00FB29F7" w:rsidRPr="00EC5014" w:rsidRDefault="00FB29F7"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6">
    <w:p w14:paraId="2BAF9736" w14:textId="77777777" w:rsidR="00FB29F7" w:rsidRPr="00EC5014" w:rsidRDefault="00FB29F7" w:rsidP="00235C0B">
      <w:pPr>
        <w:pStyle w:val="Notedebasdepage"/>
        <w:rPr>
          <w:lang w:val="en-GB"/>
        </w:rPr>
      </w:pPr>
      <w:r>
        <w:rPr>
          <w:rStyle w:val="Appelnotedebasdep"/>
          <w:lang w:val="en"/>
        </w:rPr>
        <w:footnoteRef/>
      </w:r>
      <w:r>
        <w:rPr>
          <w:lang w:val="en"/>
        </w:rPr>
        <w:t xml:space="preserve"> </w:t>
      </w:r>
      <w:r>
        <w:rPr>
          <w:lang w:val="en"/>
        </w:rPr>
        <w:tab/>
        <w:t xml:space="preserve">Prefinancing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7">
    <w:p w14:paraId="3BDC8C55" w14:textId="77777777" w:rsidR="00FB29F7" w:rsidRPr="00EC5014" w:rsidRDefault="00FB29F7"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8">
    <w:p w14:paraId="0A1C16B6" w14:textId="0F860E08" w:rsidR="00FB29F7" w:rsidRPr="00EC5014" w:rsidRDefault="00FB29F7"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9">
    <w:p w14:paraId="729FE95B" w14:textId="77777777" w:rsidR="00FB29F7" w:rsidRPr="00EC5014" w:rsidRDefault="00FB29F7"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FB29F7" w:rsidRDefault="00FB29F7"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FB29F7" w:rsidRPr="00BA396D" w:rsidRDefault="00FB29F7"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FB29F7" w:rsidRDefault="00FB29F7"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FB29F7" w:rsidRDefault="00FB29F7"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FB29F7" w:rsidRPr="008325B7" w:rsidRDefault="00FB29F7"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FB29F7" w:rsidRDefault="00FB29F7"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FB29F7" w:rsidRPr="00CA42BC" w:rsidRDefault="00FB29F7"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FB29F7" w:rsidRPr="00EC5014" w:rsidRDefault="00FB29F7"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55A"/>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6BB1"/>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5C0B"/>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37AF"/>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2639"/>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576C9"/>
    <w:rsid w:val="004605A0"/>
    <w:rsid w:val="00461511"/>
    <w:rsid w:val="00461BD1"/>
    <w:rsid w:val="00462764"/>
    <w:rsid w:val="00463F61"/>
    <w:rsid w:val="00465A88"/>
    <w:rsid w:val="0046616F"/>
    <w:rsid w:val="00470A4F"/>
    <w:rsid w:val="0047144D"/>
    <w:rsid w:val="004716B0"/>
    <w:rsid w:val="00472817"/>
    <w:rsid w:val="00473A94"/>
    <w:rsid w:val="00473C8C"/>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C528D"/>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572B"/>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D7D6D"/>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3F63"/>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64A1"/>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1A2E"/>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8BA"/>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C45"/>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094D"/>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5C22"/>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388"/>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1944"/>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29F7"/>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4AA1"/>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mailto:informatique.libertes@expertisefrance.fr" TargetMode="External"/><Relationship Id="rId28" Type="http://schemas.openxmlformats.org/officeDocument/2006/relationships/header" Target="header5.xm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footer" Target="footer5.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8D8DAC18-3DA2-4087-91FB-8309B2C9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10037</Words>
  <Characters>55207</Characters>
  <Application>Microsoft Office Word</Application>
  <DocSecurity>0</DocSecurity>
  <Lines>460</Lines>
  <Paragraphs>130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65114</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Olympe MORLAT</cp:lastModifiedBy>
  <cp:revision>5</cp:revision>
  <cp:lastPrinted>2016-12-12T14:17:00Z</cp:lastPrinted>
  <dcterms:created xsi:type="dcterms:W3CDTF">2026-02-18T16:37:00Z</dcterms:created>
  <dcterms:modified xsi:type="dcterms:W3CDTF">2026-02-18T16:48:00Z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